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0943" w14:textId="77777777" w:rsidR="004F699C" w:rsidRDefault="004F699C" w:rsidP="004F699C">
      <w:pPr>
        <w:tabs>
          <w:tab w:val="left" w:pos="820"/>
        </w:tabs>
        <w:spacing w:after="120" w:line="271" w:lineRule="exact"/>
        <w:ind w:right="-20"/>
        <w:rPr>
          <w:rFonts w:ascii="Avenir Book" w:eastAsia="Times New Roman" w:hAnsi="Avenir Book" w:cs="Times New Roman"/>
          <w:b/>
          <w:position w:val="-1"/>
          <w:sz w:val="20"/>
          <w:szCs w:val="20"/>
        </w:rPr>
      </w:pPr>
    </w:p>
    <w:p w14:paraId="76F4129F" w14:textId="77777777" w:rsidR="004F699C" w:rsidRDefault="004F699C" w:rsidP="004F699C">
      <w:pPr>
        <w:tabs>
          <w:tab w:val="left" w:pos="820"/>
        </w:tabs>
        <w:spacing w:after="120" w:line="271" w:lineRule="exact"/>
        <w:ind w:right="-20"/>
        <w:rPr>
          <w:rFonts w:ascii="Avenir Book" w:eastAsia="Times New Roman" w:hAnsi="Avenir Book" w:cs="Times New Roman"/>
          <w:b/>
          <w:position w:val="-1"/>
          <w:sz w:val="20"/>
          <w:szCs w:val="20"/>
        </w:rPr>
      </w:pPr>
    </w:p>
    <w:p w14:paraId="715F9265" w14:textId="5C507392" w:rsidR="00F941B8" w:rsidRPr="004F699C" w:rsidRDefault="00885DB7" w:rsidP="004F699C">
      <w:pPr>
        <w:tabs>
          <w:tab w:val="left" w:pos="820"/>
        </w:tabs>
        <w:spacing w:after="120" w:line="271" w:lineRule="exact"/>
        <w:ind w:right="-20"/>
        <w:rPr>
          <w:rFonts w:ascii="Avenir Book" w:eastAsia="Times New Roman" w:hAnsi="Avenir Book" w:cs="Times New Roman"/>
          <w:b/>
          <w:sz w:val="20"/>
          <w:szCs w:val="20"/>
        </w:rPr>
      </w:pPr>
      <w:r w:rsidRPr="00E22272">
        <w:rPr>
          <w:rFonts w:ascii="Avenir Book" w:eastAsia="Times New Roman" w:hAnsi="Avenir Book" w:cs="Times New Roman"/>
          <w:b/>
          <w:position w:val="-1"/>
          <w:sz w:val="20"/>
          <w:szCs w:val="20"/>
        </w:rPr>
        <w:t>I.</w:t>
      </w:r>
      <w:r w:rsidRPr="00E22272">
        <w:rPr>
          <w:rFonts w:ascii="Avenir Book" w:eastAsia="Times New Roman" w:hAnsi="Avenir Book" w:cs="Times New Roman"/>
          <w:b/>
          <w:position w:val="-1"/>
          <w:sz w:val="20"/>
          <w:szCs w:val="20"/>
        </w:rPr>
        <w:tab/>
      </w:r>
      <w:r w:rsidRPr="00E22272">
        <w:rPr>
          <w:rFonts w:ascii="Avenir Book" w:eastAsia="Times New Roman" w:hAnsi="Avenir Book" w:cs="Times New Roman"/>
          <w:b/>
          <w:position w:val="-1"/>
          <w:sz w:val="20"/>
          <w:szCs w:val="20"/>
          <w:u w:val="single"/>
        </w:rPr>
        <w:t>Introduction and Statement of Purpose</w:t>
      </w:r>
    </w:p>
    <w:p w14:paraId="746C508F" w14:textId="156E8674" w:rsidR="009F546D" w:rsidRPr="004F699C" w:rsidRDefault="00885DB7" w:rsidP="004F699C">
      <w:pPr>
        <w:spacing w:before="29" w:after="120" w:line="239" w:lineRule="auto"/>
        <w:ind w:left="100" w:right="53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>The</w:t>
      </w:r>
      <w:r w:rsidR="00F25E9A" w:rsidRPr="00E22272">
        <w:rPr>
          <w:rFonts w:ascii="Avenir Book" w:eastAsia="Times New Roman" w:hAnsi="Avenir Book" w:cs="Times New Roman"/>
          <w:sz w:val="20"/>
          <w:szCs w:val="20"/>
        </w:rPr>
        <w:t>se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  <w:r w:rsidR="00F25E9A" w:rsidRPr="00E22272">
        <w:rPr>
          <w:rFonts w:ascii="Avenir Book" w:eastAsia="Times New Roman" w:hAnsi="Avenir Book" w:cs="Times New Roman"/>
          <w:sz w:val="20"/>
          <w:szCs w:val="20"/>
        </w:rPr>
        <w:t>guidelines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of </w:t>
      </w:r>
      <w:r w:rsidR="000F3713" w:rsidRPr="00E22272">
        <w:rPr>
          <w:rFonts w:ascii="Avenir Book" w:eastAsia="Times New Roman" w:hAnsi="Avenir Book" w:cs="Times New Roman"/>
          <w:sz w:val="20"/>
          <w:szCs w:val="20"/>
        </w:rPr>
        <w:t xml:space="preserve">Health Center </w:t>
      </w:r>
      <w:r w:rsidR="00E70773" w:rsidRPr="00E22272">
        <w:rPr>
          <w:rFonts w:ascii="Avenir Book" w:eastAsia="Times New Roman" w:hAnsi="Avenir Book" w:cs="Times New Roman"/>
          <w:sz w:val="20"/>
          <w:szCs w:val="20"/>
        </w:rPr>
        <w:t>are intended to be in compliance with the requirements of 45 CFR Part 75 and concern the development of costs centers for activities outside of the</w:t>
      </w:r>
      <w:r w:rsidR="000F3713" w:rsidRPr="00E22272">
        <w:rPr>
          <w:rFonts w:ascii="Avenir Book" w:eastAsia="Times New Roman" w:hAnsi="Avenir Book" w:cs="Times New Roman"/>
          <w:sz w:val="20"/>
          <w:szCs w:val="20"/>
        </w:rPr>
        <w:t xml:space="preserve"> Health Center’s </w:t>
      </w:r>
      <w:r w:rsidR="00E70773" w:rsidRPr="00E22272">
        <w:rPr>
          <w:rFonts w:ascii="Avenir Book" w:eastAsia="Times New Roman" w:hAnsi="Avenir Book" w:cs="Times New Roman"/>
          <w:sz w:val="20"/>
          <w:szCs w:val="20"/>
        </w:rPr>
        <w:t xml:space="preserve">Section 330 </w:t>
      </w:r>
      <w:r w:rsidR="00E22272">
        <w:rPr>
          <w:rFonts w:ascii="Avenir Book" w:eastAsia="Times New Roman" w:hAnsi="Avenir Book" w:cs="Times New Roman"/>
          <w:sz w:val="20"/>
          <w:szCs w:val="20"/>
        </w:rPr>
        <w:t xml:space="preserve">grant </w:t>
      </w:r>
      <w:r w:rsidR="003E62B6" w:rsidRPr="00E22272">
        <w:rPr>
          <w:rFonts w:ascii="Avenir Book" w:eastAsia="Times New Roman" w:hAnsi="Avenir Book" w:cs="Times New Roman"/>
          <w:sz w:val="20"/>
          <w:szCs w:val="20"/>
        </w:rPr>
        <w:t>“</w:t>
      </w:r>
      <w:r w:rsidR="00FE163E" w:rsidRPr="00E22272">
        <w:rPr>
          <w:rFonts w:ascii="Avenir Book" w:eastAsia="Times New Roman" w:hAnsi="Avenir Book" w:cs="Times New Roman"/>
          <w:sz w:val="20"/>
          <w:szCs w:val="20"/>
        </w:rPr>
        <w:t>O</w:t>
      </w:r>
      <w:r w:rsidR="00A55385" w:rsidRPr="00E22272">
        <w:rPr>
          <w:rFonts w:ascii="Avenir Book" w:eastAsia="Times New Roman" w:hAnsi="Avenir Book" w:cs="Times New Roman"/>
          <w:sz w:val="20"/>
          <w:szCs w:val="20"/>
        </w:rPr>
        <w:t xml:space="preserve">ther </w:t>
      </w:r>
      <w:r w:rsidR="00FE163E" w:rsidRPr="00E22272">
        <w:rPr>
          <w:rFonts w:ascii="Avenir Book" w:eastAsia="Times New Roman" w:hAnsi="Avenir Book" w:cs="Times New Roman"/>
          <w:sz w:val="20"/>
          <w:szCs w:val="20"/>
        </w:rPr>
        <w:t>Lines of B</w:t>
      </w:r>
      <w:r w:rsidR="00E87746" w:rsidRPr="00E22272">
        <w:rPr>
          <w:rFonts w:ascii="Avenir Book" w:eastAsia="Times New Roman" w:hAnsi="Avenir Book" w:cs="Times New Roman"/>
          <w:sz w:val="20"/>
          <w:szCs w:val="20"/>
        </w:rPr>
        <w:t>usiness</w:t>
      </w:r>
      <w:r w:rsidR="003E62B6" w:rsidRPr="00E22272">
        <w:rPr>
          <w:rFonts w:ascii="Avenir Book" w:eastAsia="Times New Roman" w:hAnsi="Avenir Book" w:cs="Times New Roman"/>
          <w:sz w:val="20"/>
          <w:szCs w:val="20"/>
        </w:rPr>
        <w:t>”</w:t>
      </w:r>
      <w:r w:rsidR="00E87746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  <w:r w:rsidR="00CE5353" w:rsidRPr="00E22272">
        <w:rPr>
          <w:rFonts w:ascii="Avenir Book" w:eastAsia="Times New Roman" w:hAnsi="Avenir Book" w:cs="Times New Roman"/>
          <w:sz w:val="20"/>
          <w:szCs w:val="20"/>
        </w:rPr>
        <w:t xml:space="preserve">or “OLB” </w:t>
      </w:r>
      <w:r w:rsidR="00E87746" w:rsidRPr="00E22272">
        <w:rPr>
          <w:rFonts w:ascii="Avenir Book" w:eastAsia="Times New Roman" w:hAnsi="Avenir Book" w:cs="Times New Roman"/>
          <w:sz w:val="20"/>
          <w:szCs w:val="20"/>
        </w:rPr>
        <w:t>as described in the Budget PIN (</w:t>
      </w:r>
      <w:hyperlink r:id="rId8" w:history="1">
        <w:r w:rsidR="00E87746" w:rsidRPr="00B56A66">
          <w:rPr>
            <w:rStyle w:val="Hyperlink"/>
            <w:rFonts w:ascii="Avenir Book" w:eastAsia="Times New Roman" w:hAnsi="Avenir Book" w:cs="Times New Roman"/>
            <w:sz w:val="20"/>
            <w:szCs w:val="20"/>
          </w:rPr>
          <w:t>PIN 2013-01</w:t>
        </w:r>
      </w:hyperlink>
      <w:r w:rsidR="00E87746" w:rsidRPr="00E22272">
        <w:rPr>
          <w:rFonts w:ascii="Avenir Book" w:eastAsia="Times New Roman" w:hAnsi="Avenir Book" w:cs="Times New Roman"/>
          <w:sz w:val="20"/>
          <w:szCs w:val="20"/>
        </w:rPr>
        <w:t>)</w:t>
      </w:r>
      <w:r w:rsidR="003903D3" w:rsidRPr="00E22272">
        <w:rPr>
          <w:rFonts w:ascii="Avenir Book" w:eastAsia="Times New Roman" w:hAnsi="Avenir Book" w:cs="Times New Roman"/>
          <w:sz w:val="20"/>
          <w:szCs w:val="20"/>
        </w:rPr>
        <w:t xml:space="preserve">. </w:t>
      </w:r>
      <w:r w:rsidR="003E62B6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</w:p>
    <w:p w14:paraId="2386AB81" w14:textId="4C28BE85" w:rsidR="00F941B8" w:rsidRPr="004F699C" w:rsidRDefault="003E62B6" w:rsidP="004F699C">
      <w:pPr>
        <w:spacing w:before="29" w:after="120" w:line="239" w:lineRule="auto"/>
        <w:ind w:left="100" w:right="53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These guidelines </w:t>
      </w:r>
      <w:r w:rsidR="00B12716" w:rsidRPr="00E22272">
        <w:rPr>
          <w:rFonts w:ascii="Avenir Book" w:eastAsia="Times New Roman" w:hAnsi="Avenir Book" w:cs="Times New Roman"/>
          <w:sz w:val="20"/>
          <w:szCs w:val="20"/>
        </w:rPr>
        <w:t xml:space="preserve">currently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apply to </w:t>
      </w:r>
      <w:r w:rsidR="00FE163E" w:rsidRPr="00E22272">
        <w:rPr>
          <w:rFonts w:ascii="Avenir Book" w:eastAsia="Times New Roman" w:hAnsi="Avenir Book" w:cs="Times New Roman"/>
          <w:sz w:val="20"/>
          <w:szCs w:val="20"/>
        </w:rPr>
        <w:t xml:space="preserve">the following </w:t>
      </w:r>
      <w:r w:rsidR="00CE5353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="00885DB7" w:rsidRPr="00E22272">
        <w:rPr>
          <w:rFonts w:ascii="Avenir Book" w:eastAsia="Times New Roman" w:hAnsi="Avenir Book" w:cs="Times New Roman"/>
          <w:sz w:val="20"/>
          <w:szCs w:val="20"/>
        </w:rPr>
        <w:t>:</w:t>
      </w:r>
      <w:r w:rsidR="009F546D" w:rsidRPr="00E22272">
        <w:rPr>
          <w:rFonts w:ascii="Avenir Book" w:eastAsia="Times New Roman" w:hAnsi="Avenir Book" w:cs="Times New Roman"/>
          <w:sz w:val="20"/>
          <w:szCs w:val="20"/>
        </w:rPr>
        <w:t xml:space="preserve">  </w:t>
      </w:r>
      <w:r w:rsidR="00CD5EE5" w:rsidRPr="00B56A66">
        <w:rPr>
          <w:rFonts w:ascii="Avenir Book" w:eastAsia="Times New Roman" w:hAnsi="Avenir Book" w:cs="Times New Roman"/>
          <w:b/>
          <w:sz w:val="20"/>
          <w:szCs w:val="20"/>
        </w:rPr>
        <w:t>Abortion Services</w:t>
      </w:r>
      <w:r w:rsidR="00334D35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</w:p>
    <w:p w14:paraId="0C7B6250" w14:textId="77777777" w:rsidR="004F699C" w:rsidRDefault="004F699C" w:rsidP="004F699C">
      <w:pPr>
        <w:tabs>
          <w:tab w:val="left" w:pos="820"/>
        </w:tabs>
        <w:spacing w:after="120" w:line="240" w:lineRule="auto"/>
        <w:ind w:left="100" w:right="-20"/>
        <w:rPr>
          <w:rFonts w:ascii="Avenir Book" w:eastAsia="Times New Roman" w:hAnsi="Avenir Book" w:cs="Times New Roman"/>
          <w:b/>
          <w:sz w:val="20"/>
          <w:szCs w:val="20"/>
        </w:rPr>
      </w:pPr>
    </w:p>
    <w:p w14:paraId="218E10BD" w14:textId="5221DEDD" w:rsidR="00F941B8" w:rsidRPr="004F699C" w:rsidRDefault="00885DB7" w:rsidP="004F699C">
      <w:pPr>
        <w:tabs>
          <w:tab w:val="left" w:pos="820"/>
        </w:tabs>
        <w:spacing w:after="120" w:line="240" w:lineRule="auto"/>
        <w:ind w:left="100" w:right="-20"/>
        <w:rPr>
          <w:rFonts w:ascii="Avenir Book" w:eastAsia="Times New Roman" w:hAnsi="Avenir Book" w:cs="Times New Roman"/>
          <w:b/>
          <w:sz w:val="20"/>
          <w:szCs w:val="20"/>
        </w:rPr>
      </w:pPr>
      <w:r w:rsidRPr="00E22272">
        <w:rPr>
          <w:rFonts w:ascii="Avenir Book" w:eastAsia="Times New Roman" w:hAnsi="Avenir Book" w:cs="Times New Roman"/>
          <w:b/>
          <w:sz w:val="20"/>
          <w:szCs w:val="20"/>
        </w:rPr>
        <w:t>II.</w:t>
      </w:r>
      <w:r w:rsidRPr="00E22272">
        <w:rPr>
          <w:rFonts w:ascii="Avenir Book" w:eastAsia="Times New Roman" w:hAnsi="Avenir Book" w:cs="Times New Roman"/>
          <w:b/>
          <w:sz w:val="20"/>
          <w:szCs w:val="20"/>
        </w:rPr>
        <w:tab/>
      </w:r>
      <w:r w:rsidRPr="00E22272">
        <w:rPr>
          <w:rFonts w:ascii="Avenir Book" w:eastAsia="Times New Roman" w:hAnsi="Avenir Book" w:cs="Times New Roman"/>
          <w:b/>
          <w:sz w:val="20"/>
          <w:szCs w:val="20"/>
          <w:u w:val="single"/>
        </w:rPr>
        <w:t>Standards of Conduct</w:t>
      </w:r>
    </w:p>
    <w:p w14:paraId="3D2EB7BF" w14:textId="786FA95C" w:rsidR="00F941B8" w:rsidRPr="004F699C" w:rsidRDefault="000F3713" w:rsidP="004F699C">
      <w:pPr>
        <w:spacing w:after="120" w:line="240" w:lineRule="auto"/>
        <w:ind w:left="100" w:right="20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Health center </w:t>
      </w:r>
      <w:r w:rsidR="00067D01" w:rsidRPr="00E22272">
        <w:rPr>
          <w:rFonts w:ascii="Avenir Book" w:eastAsia="Times New Roman" w:hAnsi="Avenir Book" w:cs="Times New Roman"/>
          <w:sz w:val="20"/>
          <w:szCs w:val="20"/>
        </w:rPr>
        <w:t xml:space="preserve">staff shall </w:t>
      </w:r>
      <w:r w:rsidR="00A5780C" w:rsidRPr="00E22272">
        <w:rPr>
          <w:rFonts w:ascii="Avenir Book" w:eastAsia="Times New Roman" w:hAnsi="Avenir Book" w:cs="Times New Roman"/>
          <w:sz w:val="20"/>
          <w:szCs w:val="20"/>
        </w:rPr>
        <w:t xml:space="preserve">track and account for revenues </w:t>
      </w:r>
      <w:r w:rsidR="008130B0" w:rsidRPr="00E22272">
        <w:rPr>
          <w:rFonts w:ascii="Avenir Book" w:eastAsia="Times New Roman" w:hAnsi="Avenir Book" w:cs="Times New Roman"/>
          <w:sz w:val="20"/>
          <w:szCs w:val="20"/>
        </w:rPr>
        <w:t xml:space="preserve">generated by </w:t>
      </w:r>
      <w:r w:rsidR="00A5780C" w:rsidRPr="00E22272">
        <w:rPr>
          <w:rFonts w:ascii="Avenir Book" w:eastAsia="Times New Roman" w:hAnsi="Avenir Book" w:cs="Times New Roman"/>
          <w:sz w:val="20"/>
          <w:szCs w:val="20"/>
        </w:rPr>
        <w:t>and</w:t>
      </w:r>
      <w:r w:rsidR="008130B0" w:rsidRPr="00E22272">
        <w:rPr>
          <w:rFonts w:ascii="Avenir Book" w:eastAsia="Times New Roman" w:hAnsi="Avenir Book" w:cs="Times New Roman"/>
          <w:sz w:val="20"/>
          <w:szCs w:val="20"/>
        </w:rPr>
        <w:t xml:space="preserve"> the costs associated with</w:t>
      </w:r>
      <w:r w:rsidR="00A5780C" w:rsidRPr="00E22272">
        <w:rPr>
          <w:rFonts w:ascii="Avenir Book" w:eastAsia="Times New Roman" w:hAnsi="Avenir Book" w:cs="Times New Roman"/>
          <w:sz w:val="20"/>
          <w:szCs w:val="20"/>
        </w:rPr>
        <w:t xml:space="preserve"> the </w:t>
      </w:r>
      <w:r w:rsidRPr="00E22272">
        <w:rPr>
          <w:rFonts w:ascii="Avenir Book" w:eastAsia="Times New Roman" w:hAnsi="Avenir Book" w:cs="Times New Roman"/>
          <w:sz w:val="20"/>
          <w:szCs w:val="20"/>
        </w:rPr>
        <w:t>Health Center</w:t>
      </w:r>
      <w:r w:rsidR="00A5780C" w:rsidRPr="00E22272">
        <w:rPr>
          <w:rFonts w:ascii="Avenir Book" w:eastAsia="Times New Roman" w:hAnsi="Avenir Book" w:cs="Times New Roman"/>
          <w:sz w:val="20"/>
          <w:szCs w:val="20"/>
        </w:rPr>
        <w:t xml:space="preserve">’s OLB </w:t>
      </w:r>
      <w:r w:rsidR="008130B0" w:rsidRPr="00E22272">
        <w:rPr>
          <w:rFonts w:ascii="Avenir Book" w:eastAsia="Times New Roman" w:hAnsi="Avenir Book" w:cs="Times New Roman"/>
          <w:sz w:val="20"/>
          <w:szCs w:val="20"/>
        </w:rPr>
        <w:t xml:space="preserve">and shall </w:t>
      </w:r>
      <w:r w:rsidR="00067D01" w:rsidRPr="00E22272">
        <w:rPr>
          <w:rFonts w:ascii="Avenir Book" w:eastAsia="Times New Roman" w:hAnsi="Avenir Book" w:cs="Times New Roman"/>
          <w:sz w:val="20"/>
          <w:szCs w:val="20"/>
        </w:rPr>
        <w:t>follow appropriate documentation</w:t>
      </w:r>
      <w:r w:rsidR="00EB746F" w:rsidRPr="00E22272">
        <w:rPr>
          <w:rFonts w:ascii="Avenir Book" w:eastAsia="Times New Roman" w:hAnsi="Avenir Book" w:cs="Times New Roman"/>
          <w:sz w:val="20"/>
          <w:szCs w:val="20"/>
        </w:rPr>
        <w:t xml:space="preserve"> standards</w:t>
      </w:r>
      <w:r w:rsidR="00067D01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  <w:r w:rsidR="00885DB7" w:rsidRPr="00E22272">
        <w:rPr>
          <w:rFonts w:ascii="Avenir Book" w:eastAsia="Times New Roman" w:hAnsi="Avenir Book" w:cs="Times New Roman"/>
          <w:sz w:val="20"/>
          <w:szCs w:val="20"/>
        </w:rPr>
        <w:t>in</w:t>
      </w:r>
      <w:r w:rsidR="00885DB7" w:rsidRPr="00E22272">
        <w:rPr>
          <w:rFonts w:ascii="Avenir Book" w:eastAsia="Times New Roman" w:hAnsi="Avenir Book" w:cs="Times New Roman"/>
          <w:spacing w:val="-1"/>
          <w:sz w:val="20"/>
          <w:szCs w:val="20"/>
        </w:rPr>
        <w:t xml:space="preserve"> </w:t>
      </w:r>
      <w:r w:rsidR="00885DB7" w:rsidRPr="00E22272">
        <w:rPr>
          <w:rFonts w:ascii="Avenir Book" w:eastAsia="Times New Roman" w:hAnsi="Avenir Book" w:cs="Times New Roman"/>
          <w:sz w:val="20"/>
          <w:szCs w:val="20"/>
        </w:rPr>
        <w:t xml:space="preserve">accordance with the </w:t>
      </w:r>
      <w:r w:rsidRPr="00E22272">
        <w:rPr>
          <w:rFonts w:ascii="Avenir Book" w:eastAsia="Times New Roman" w:hAnsi="Avenir Book" w:cs="Times New Roman"/>
          <w:sz w:val="20"/>
          <w:szCs w:val="20"/>
        </w:rPr>
        <w:t>Health Center</w:t>
      </w:r>
      <w:r w:rsidR="00885DB7" w:rsidRPr="00E22272">
        <w:rPr>
          <w:rFonts w:ascii="Avenir Book" w:eastAsia="Times New Roman" w:hAnsi="Avenir Book" w:cs="Times New Roman"/>
          <w:sz w:val="20"/>
          <w:szCs w:val="20"/>
        </w:rPr>
        <w:t xml:space="preserve">’s 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>accounting and financial policy and procedure manual</w:t>
      </w:r>
      <w:r w:rsidR="00856278" w:rsidRPr="00E22272">
        <w:rPr>
          <w:rFonts w:ascii="Avenir Book" w:eastAsia="Times New Roman" w:hAnsi="Avenir Book" w:cs="Times New Roman"/>
          <w:sz w:val="20"/>
          <w:szCs w:val="20"/>
        </w:rPr>
        <w:t xml:space="preserve">. </w:t>
      </w:r>
    </w:p>
    <w:p w14:paraId="747756F9" w14:textId="77777777" w:rsidR="004F699C" w:rsidRDefault="004F699C" w:rsidP="004F699C">
      <w:pPr>
        <w:tabs>
          <w:tab w:val="left" w:pos="820"/>
        </w:tabs>
        <w:spacing w:after="120" w:line="240" w:lineRule="auto"/>
        <w:ind w:left="100" w:right="-20"/>
        <w:rPr>
          <w:rFonts w:ascii="Avenir Book" w:eastAsia="Times New Roman" w:hAnsi="Avenir Book" w:cs="Times New Roman"/>
          <w:b/>
          <w:sz w:val="20"/>
          <w:szCs w:val="20"/>
        </w:rPr>
      </w:pPr>
    </w:p>
    <w:p w14:paraId="30F38619" w14:textId="6EC12FE5" w:rsidR="00F941B8" w:rsidRPr="004F699C" w:rsidRDefault="00706615" w:rsidP="004F699C">
      <w:pPr>
        <w:tabs>
          <w:tab w:val="left" w:pos="820"/>
        </w:tabs>
        <w:spacing w:after="120" w:line="240" w:lineRule="auto"/>
        <w:ind w:left="100" w:right="-20"/>
        <w:rPr>
          <w:rFonts w:ascii="Avenir Book" w:eastAsia="Times New Roman" w:hAnsi="Avenir Book" w:cs="Times New Roman"/>
          <w:b/>
          <w:sz w:val="20"/>
          <w:szCs w:val="20"/>
        </w:rPr>
      </w:pPr>
      <w:r w:rsidRPr="00E22272">
        <w:rPr>
          <w:rFonts w:ascii="Avenir Book" w:eastAsia="Times New Roman" w:hAnsi="Avenir Book" w:cs="Times New Roman"/>
          <w:b/>
          <w:sz w:val="20"/>
          <w:szCs w:val="20"/>
        </w:rPr>
        <w:t>III</w:t>
      </w:r>
      <w:r w:rsidR="00885DB7" w:rsidRPr="00E22272">
        <w:rPr>
          <w:rFonts w:ascii="Avenir Book" w:eastAsia="Times New Roman" w:hAnsi="Avenir Book" w:cs="Times New Roman"/>
          <w:b/>
          <w:sz w:val="20"/>
          <w:szCs w:val="20"/>
        </w:rPr>
        <w:t>.</w:t>
      </w:r>
      <w:r w:rsidR="00885DB7" w:rsidRPr="00E22272">
        <w:rPr>
          <w:rFonts w:ascii="Avenir Book" w:eastAsia="Times New Roman" w:hAnsi="Avenir Book" w:cs="Times New Roman"/>
          <w:b/>
          <w:sz w:val="20"/>
          <w:szCs w:val="20"/>
        </w:rPr>
        <w:tab/>
      </w:r>
      <w:r w:rsidR="00885DB7" w:rsidRPr="00E22272">
        <w:rPr>
          <w:rFonts w:ascii="Avenir Book" w:eastAsia="Times New Roman" w:hAnsi="Avenir Book" w:cs="Times New Roman"/>
          <w:b/>
          <w:sz w:val="20"/>
          <w:szCs w:val="20"/>
          <w:u w:val="single"/>
        </w:rPr>
        <w:t>General</w:t>
      </w:r>
      <w:r w:rsidR="00885DB7" w:rsidRPr="00E22272">
        <w:rPr>
          <w:rFonts w:ascii="Avenir Book" w:eastAsia="Times New Roman" w:hAnsi="Avenir Book" w:cs="Times New Roman"/>
          <w:b/>
          <w:spacing w:val="-1"/>
          <w:sz w:val="20"/>
          <w:szCs w:val="20"/>
          <w:u w:val="single"/>
        </w:rPr>
        <w:t xml:space="preserve"> </w:t>
      </w:r>
      <w:r w:rsidR="00A37799" w:rsidRPr="00E22272">
        <w:rPr>
          <w:rFonts w:ascii="Avenir Book" w:eastAsia="Times New Roman" w:hAnsi="Avenir Book" w:cs="Times New Roman"/>
          <w:b/>
          <w:spacing w:val="-3"/>
          <w:sz w:val="20"/>
          <w:szCs w:val="20"/>
          <w:u w:val="single"/>
        </w:rPr>
        <w:t>Guidelines</w:t>
      </w:r>
    </w:p>
    <w:p w14:paraId="16C1E1C0" w14:textId="04575F9A" w:rsidR="00F941B8" w:rsidRPr="004F699C" w:rsidRDefault="00885DB7" w:rsidP="004F699C">
      <w:pPr>
        <w:spacing w:after="120" w:line="240" w:lineRule="auto"/>
        <w:ind w:left="100" w:right="86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The </w:t>
      </w:r>
      <w:r w:rsidRPr="00E22272">
        <w:rPr>
          <w:rFonts w:ascii="Avenir Book" w:eastAsia="Times New Roman" w:hAnsi="Avenir Book" w:cs="Times New Roman"/>
          <w:spacing w:val="-1"/>
          <w:sz w:val="20"/>
          <w:szCs w:val="20"/>
        </w:rPr>
        <w:t>f</w:t>
      </w:r>
      <w:r w:rsidRPr="00E22272">
        <w:rPr>
          <w:rFonts w:ascii="Avenir Book" w:eastAsia="Times New Roman" w:hAnsi="Avenir Book" w:cs="Times New Roman"/>
          <w:sz w:val="20"/>
          <w:szCs w:val="20"/>
        </w:rPr>
        <w:t>ollowing procedu</w:t>
      </w:r>
      <w:r w:rsidRPr="00E22272">
        <w:rPr>
          <w:rFonts w:ascii="Avenir Book" w:eastAsia="Times New Roman" w:hAnsi="Avenir Book" w:cs="Times New Roman"/>
          <w:spacing w:val="-1"/>
          <w:sz w:val="20"/>
          <w:szCs w:val="20"/>
        </w:rPr>
        <w:t>r</w:t>
      </w:r>
      <w:r w:rsidRPr="00E22272">
        <w:rPr>
          <w:rFonts w:ascii="Avenir Book" w:eastAsia="Times New Roman" w:hAnsi="Avenir Book" w:cs="Times New Roman"/>
          <w:sz w:val="20"/>
          <w:szCs w:val="20"/>
        </w:rPr>
        <w:t>es will apply</w:t>
      </w:r>
      <w:r w:rsidRPr="00E22272">
        <w:rPr>
          <w:rFonts w:ascii="Avenir Book" w:eastAsia="Times New Roman" w:hAnsi="Avenir Book" w:cs="Times New Roman"/>
          <w:spacing w:val="-1"/>
          <w:sz w:val="20"/>
          <w:szCs w:val="20"/>
        </w:rPr>
        <w:t xml:space="preserve">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to all </w:t>
      </w:r>
      <w:r w:rsidR="000F3713" w:rsidRPr="00E22272">
        <w:rPr>
          <w:rFonts w:ascii="Avenir Book" w:eastAsia="Times New Roman" w:hAnsi="Avenir Book" w:cs="Times New Roman"/>
          <w:sz w:val="20"/>
          <w:szCs w:val="20"/>
        </w:rPr>
        <w:t>Health Center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 xml:space="preserve"> record keeping of </w:t>
      </w:r>
      <w:r w:rsidR="00CE5353" w:rsidRPr="00E22272">
        <w:rPr>
          <w:rFonts w:ascii="Avenir Book" w:eastAsia="Times New Roman" w:hAnsi="Avenir Book" w:cs="Times New Roman"/>
          <w:sz w:val="20"/>
          <w:szCs w:val="20"/>
        </w:rPr>
        <w:t xml:space="preserve">OLB. 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 </w:t>
      </w:r>
    </w:p>
    <w:p w14:paraId="0272F53C" w14:textId="48C2767C" w:rsidR="00F941B8" w:rsidRPr="004F699C" w:rsidRDefault="001368E6" w:rsidP="004F699C">
      <w:pPr>
        <w:spacing w:after="120" w:line="240" w:lineRule="auto"/>
        <w:ind w:left="540" w:right="132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>A</w:t>
      </w:r>
      <w:r w:rsidR="00885DB7" w:rsidRPr="00E22272">
        <w:rPr>
          <w:rFonts w:ascii="Avenir Book" w:eastAsia="Times New Roman" w:hAnsi="Avenir Book" w:cs="Times New Roman"/>
          <w:sz w:val="20"/>
          <w:szCs w:val="20"/>
        </w:rPr>
        <w:t xml:space="preserve">n analysis </w:t>
      </w:r>
      <w:r w:rsidR="003B0A88" w:rsidRPr="00E22272">
        <w:rPr>
          <w:rFonts w:ascii="Avenir Book" w:eastAsia="Times New Roman" w:hAnsi="Avenir Book" w:cs="Times New Roman"/>
          <w:sz w:val="20"/>
          <w:szCs w:val="20"/>
        </w:rPr>
        <w:t xml:space="preserve">will be done 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>(</w:t>
      </w:r>
      <w:r w:rsidR="00CE5353" w:rsidRPr="00E22272">
        <w:rPr>
          <w:rFonts w:ascii="Avenir Book" w:eastAsia="Times New Roman" w:hAnsi="Avenir Book" w:cs="Times New Roman"/>
          <w:sz w:val="20"/>
          <w:szCs w:val="20"/>
        </w:rPr>
        <w:t>at least quarterly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 xml:space="preserve">) </w:t>
      </w:r>
      <w:r w:rsidR="00885DB7" w:rsidRPr="00E22272">
        <w:rPr>
          <w:rFonts w:ascii="Avenir Book" w:eastAsia="Times New Roman" w:hAnsi="Avenir Book" w:cs="Times New Roman"/>
          <w:sz w:val="20"/>
          <w:szCs w:val="20"/>
        </w:rPr>
        <w:t xml:space="preserve">of 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 xml:space="preserve">the revenue and </w:t>
      </w:r>
      <w:r w:rsidR="00790A03" w:rsidRPr="00E22272">
        <w:rPr>
          <w:rFonts w:ascii="Avenir Book" w:eastAsia="Times New Roman" w:hAnsi="Avenir Book" w:cs="Times New Roman"/>
          <w:sz w:val="20"/>
          <w:szCs w:val="20"/>
        </w:rPr>
        <w:t>costs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 xml:space="preserve"> associated with</w:t>
      </w:r>
      <w:r w:rsidR="00790A03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 xml:space="preserve">the services provided which are </w:t>
      </w:r>
      <w:r w:rsidR="003B0A88" w:rsidRPr="00E22272">
        <w:rPr>
          <w:rFonts w:ascii="Avenir Book" w:eastAsia="Times New Roman" w:hAnsi="Avenir Book" w:cs="Times New Roman"/>
          <w:sz w:val="20"/>
          <w:szCs w:val="20"/>
        </w:rPr>
        <w:t xml:space="preserve">considered </w:t>
      </w:r>
      <w:r w:rsidR="00CE5353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="00706615" w:rsidRPr="00E22272">
        <w:rPr>
          <w:rFonts w:ascii="Avenir Book" w:eastAsia="Times New Roman" w:hAnsi="Avenir Book" w:cs="Times New Roman"/>
          <w:sz w:val="20"/>
          <w:szCs w:val="20"/>
        </w:rPr>
        <w:t>.</w:t>
      </w:r>
    </w:p>
    <w:p w14:paraId="42D77CC8" w14:textId="1254580C" w:rsidR="00F941B8" w:rsidRPr="004F699C" w:rsidRDefault="005D02D5" w:rsidP="004F699C">
      <w:pPr>
        <w:spacing w:after="120" w:line="240" w:lineRule="auto"/>
        <w:ind w:left="520" w:right="-2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The revenue produced and the </w:t>
      </w:r>
      <w:r w:rsidR="008130B0" w:rsidRPr="00E22272">
        <w:rPr>
          <w:rFonts w:ascii="Avenir Book" w:eastAsia="Times New Roman" w:hAnsi="Avenir Book" w:cs="Times New Roman"/>
          <w:sz w:val="20"/>
          <w:szCs w:val="20"/>
        </w:rPr>
        <w:t>costs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incurred are segregated in the trial balance under a    separate cost center code </w:t>
      </w:r>
      <w:r w:rsidR="004323EB" w:rsidRPr="00E22272">
        <w:rPr>
          <w:rFonts w:ascii="Avenir Book" w:eastAsia="Times New Roman" w:hAnsi="Avenir Book" w:cs="Times New Roman"/>
          <w:sz w:val="20"/>
          <w:szCs w:val="20"/>
        </w:rPr>
        <w:t>for each 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.   </w:t>
      </w:r>
    </w:p>
    <w:p w14:paraId="6AF27BAB" w14:textId="6AE7195D" w:rsidR="00F941B8" w:rsidRPr="004F699C" w:rsidRDefault="00D647FC" w:rsidP="004F699C">
      <w:pPr>
        <w:pStyle w:val="ListParagraph"/>
        <w:numPr>
          <w:ilvl w:val="0"/>
          <w:numId w:val="8"/>
        </w:numPr>
        <w:tabs>
          <w:tab w:val="left" w:pos="1180"/>
        </w:tabs>
        <w:spacing w:after="120" w:line="240" w:lineRule="auto"/>
        <w:ind w:left="878" w:right="694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>Staff shall maintain a</w:t>
      </w:r>
      <w:r w:rsidR="00885DB7" w:rsidRPr="00E22272">
        <w:rPr>
          <w:rFonts w:ascii="Avenir Book" w:eastAsia="Times New Roman" w:hAnsi="Avenir Book" w:cs="Times New Roman"/>
          <w:sz w:val="20"/>
          <w:szCs w:val="20"/>
        </w:rPr>
        <w:t xml:space="preserve"> clear and accurate </w:t>
      </w:r>
      <w:r w:rsidR="005D02D5" w:rsidRPr="00E22272">
        <w:rPr>
          <w:rFonts w:ascii="Avenir Book" w:eastAsia="Times New Roman" w:hAnsi="Avenir Book" w:cs="Times New Roman"/>
          <w:sz w:val="20"/>
          <w:szCs w:val="20"/>
        </w:rPr>
        <w:t xml:space="preserve">analysis of the revenue earned </w:t>
      </w:r>
      <w:r w:rsidR="003732FD" w:rsidRPr="00E22272">
        <w:rPr>
          <w:rFonts w:ascii="Avenir Book" w:eastAsia="Times New Roman" w:hAnsi="Avenir Book" w:cs="Times New Roman"/>
          <w:sz w:val="20"/>
          <w:szCs w:val="20"/>
        </w:rPr>
        <w:t>(e.</w:t>
      </w:r>
      <w:r w:rsidRPr="00E22272">
        <w:rPr>
          <w:rFonts w:ascii="Avenir Book" w:eastAsia="Times New Roman" w:hAnsi="Avenir Book" w:cs="Times New Roman"/>
          <w:sz w:val="20"/>
          <w:szCs w:val="20"/>
        </w:rPr>
        <w:t>g.</w:t>
      </w:r>
      <w:r w:rsidR="003732FD" w:rsidRPr="00E22272">
        <w:rPr>
          <w:rFonts w:ascii="Avenir Book" w:eastAsia="Times New Roman" w:hAnsi="Avenir Book" w:cs="Times New Roman"/>
          <w:sz w:val="20"/>
          <w:szCs w:val="20"/>
        </w:rPr>
        <w:t xml:space="preserve"> patient service revenue and other contract service revenue) </w:t>
      </w:r>
      <w:r w:rsidR="005D02D5" w:rsidRPr="00E22272">
        <w:rPr>
          <w:rFonts w:ascii="Avenir Book" w:eastAsia="Times New Roman" w:hAnsi="Avenir Book" w:cs="Times New Roman"/>
          <w:sz w:val="20"/>
          <w:szCs w:val="20"/>
        </w:rPr>
        <w:t xml:space="preserve">and </w:t>
      </w:r>
      <w:r w:rsidR="00471947" w:rsidRPr="00E22272">
        <w:rPr>
          <w:rFonts w:ascii="Avenir Book" w:eastAsia="Times New Roman" w:hAnsi="Avenir Book" w:cs="Times New Roman"/>
          <w:sz w:val="20"/>
          <w:szCs w:val="20"/>
        </w:rPr>
        <w:t>costs</w:t>
      </w:r>
      <w:r w:rsidR="005D02D5" w:rsidRPr="00E22272">
        <w:rPr>
          <w:rFonts w:ascii="Avenir Book" w:eastAsia="Times New Roman" w:hAnsi="Avenir Book" w:cs="Times New Roman"/>
          <w:sz w:val="20"/>
          <w:szCs w:val="20"/>
        </w:rPr>
        <w:t xml:space="preserve"> incurred to support the </w:t>
      </w:r>
      <w:r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="005D02D5" w:rsidRPr="00E22272">
        <w:rPr>
          <w:rFonts w:ascii="Avenir Book" w:eastAsia="Times New Roman" w:hAnsi="Avenir Book" w:cs="Times New Roman"/>
          <w:sz w:val="20"/>
          <w:szCs w:val="20"/>
        </w:rPr>
        <w:t xml:space="preserve">.  </w:t>
      </w:r>
    </w:p>
    <w:p w14:paraId="737DD2A4" w14:textId="5C47B4F9" w:rsidR="00F941B8" w:rsidRPr="004F699C" w:rsidRDefault="005D02D5" w:rsidP="004F699C">
      <w:pPr>
        <w:pStyle w:val="ListParagraph"/>
        <w:numPr>
          <w:ilvl w:val="0"/>
          <w:numId w:val="8"/>
        </w:numPr>
        <w:tabs>
          <w:tab w:val="left" w:pos="1180"/>
        </w:tabs>
        <w:spacing w:after="120" w:line="274" w:lineRule="exact"/>
        <w:ind w:left="878" w:right="339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No revenues </w:t>
      </w:r>
      <w:r w:rsidR="003732FD" w:rsidRPr="00E22272">
        <w:rPr>
          <w:rFonts w:ascii="Avenir Book" w:eastAsia="Times New Roman" w:hAnsi="Avenir Book" w:cs="Times New Roman"/>
          <w:sz w:val="20"/>
          <w:szCs w:val="20"/>
        </w:rPr>
        <w:t xml:space="preserve">(program income) </w:t>
      </w:r>
      <w:r w:rsidR="000F3713" w:rsidRPr="00E22272">
        <w:rPr>
          <w:rFonts w:ascii="Avenir Book" w:eastAsia="Times New Roman" w:hAnsi="Avenir Book" w:cs="Times New Roman"/>
          <w:sz w:val="20"/>
          <w:szCs w:val="20"/>
        </w:rPr>
        <w:t xml:space="preserve">earned from the 330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grant scope of services </w:t>
      </w:r>
      <w:proofErr w:type="gramStart"/>
      <w:r w:rsidR="000D5729" w:rsidRPr="00E22272">
        <w:rPr>
          <w:rFonts w:ascii="Avenir Book" w:eastAsia="Times New Roman" w:hAnsi="Avenir Book" w:cs="Times New Roman"/>
          <w:sz w:val="20"/>
          <w:szCs w:val="20"/>
        </w:rPr>
        <w:t xml:space="preserve">will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be</w:t>
      </w:r>
      <w:proofErr w:type="gramEnd"/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utilized to support </w:t>
      </w:r>
      <w:r w:rsidR="000D5729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services.  </w:t>
      </w:r>
    </w:p>
    <w:p w14:paraId="4AC4DB6C" w14:textId="14B8557B" w:rsidR="000F3713" w:rsidRPr="004F699C" w:rsidRDefault="005D02D5" w:rsidP="004F699C">
      <w:pPr>
        <w:pStyle w:val="ListParagraph"/>
        <w:numPr>
          <w:ilvl w:val="0"/>
          <w:numId w:val="8"/>
        </w:numPr>
        <w:tabs>
          <w:tab w:val="left" w:pos="1180"/>
        </w:tabs>
        <w:spacing w:after="120" w:line="239" w:lineRule="auto"/>
        <w:ind w:left="878" w:right="161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Specific reports </w:t>
      </w:r>
      <w:r w:rsidR="00B70D45" w:rsidRPr="00E22272">
        <w:rPr>
          <w:rFonts w:ascii="Avenir Book" w:eastAsia="Times New Roman" w:hAnsi="Avenir Book" w:cs="Times New Roman"/>
          <w:sz w:val="20"/>
          <w:szCs w:val="20"/>
        </w:rPr>
        <w:t xml:space="preserve">based on the procedure codes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are produced to reflect the revenue earned from the </w:t>
      </w:r>
      <w:r w:rsidR="00AB2BD6" w:rsidRPr="00E22272">
        <w:rPr>
          <w:rFonts w:ascii="Avenir Book" w:eastAsia="Times New Roman" w:hAnsi="Avenir Book" w:cs="Times New Roman"/>
          <w:sz w:val="20"/>
          <w:szCs w:val="20"/>
        </w:rPr>
        <w:t xml:space="preserve">OLB services (currently </w:t>
      </w:r>
      <w:r w:rsidRPr="00E22272">
        <w:rPr>
          <w:rFonts w:ascii="Avenir Book" w:eastAsia="Times New Roman" w:hAnsi="Avenir Book" w:cs="Times New Roman"/>
          <w:sz w:val="20"/>
          <w:szCs w:val="20"/>
        </w:rPr>
        <w:t>Abortion S</w:t>
      </w:r>
      <w:r w:rsidR="008D30CA" w:rsidRPr="00E22272">
        <w:rPr>
          <w:rFonts w:ascii="Avenir Book" w:eastAsia="Times New Roman" w:hAnsi="Avenir Book" w:cs="Times New Roman"/>
          <w:sz w:val="20"/>
          <w:szCs w:val="20"/>
        </w:rPr>
        <w:t>ervices</w:t>
      </w:r>
      <w:r w:rsidR="00AB2BD6" w:rsidRPr="00E22272">
        <w:rPr>
          <w:rFonts w:ascii="Avenir Book" w:eastAsia="Times New Roman" w:hAnsi="Avenir Book" w:cs="Times New Roman"/>
          <w:sz w:val="20"/>
          <w:szCs w:val="20"/>
        </w:rPr>
        <w:t>)</w:t>
      </w:r>
      <w:r w:rsidR="00D642AC" w:rsidRPr="00E22272">
        <w:rPr>
          <w:rFonts w:ascii="Avenir Book" w:eastAsia="Times New Roman" w:hAnsi="Avenir Book" w:cs="Times New Roman"/>
          <w:sz w:val="20"/>
          <w:szCs w:val="20"/>
        </w:rPr>
        <w:t xml:space="preserve">.  These reports are used </w:t>
      </w:r>
      <w:r w:rsidR="008D30CA" w:rsidRPr="00E22272">
        <w:rPr>
          <w:rFonts w:ascii="Avenir Book" w:eastAsia="Times New Roman" w:hAnsi="Avenir Book" w:cs="Times New Roman"/>
          <w:sz w:val="20"/>
          <w:szCs w:val="20"/>
        </w:rPr>
        <w:t xml:space="preserve">to segregate the </w:t>
      </w:r>
      <w:r w:rsidR="00D642AC" w:rsidRPr="00E22272">
        <w:rPr>
          <w:rFonts w:ascii="Avenir Book" w:eastAsia="Times New Roman" w:hAnsi="Avenir Book" w:cs="Times New Roman"/>
          <w:sz w:val="20"/>
          <w:szCs w:val="20"/>
        </w:rPr>
        <w:t xml:space="preserve">OLB </w:t>
      </w:r>
      <w:r w:rsidR="008D30CA" w:rsidRPr="00E22272">
        <w:rPr>
          <w:rFonts w:ascii="Avenir Book" w:eastAsia="Times New Roman" w:hAnsi="Avenir Book" w:cs="Times New Roman"/>
          <w:sz w:val="20"/>
          <w:szCs w:val="20"/>
        </w:rPr>
        <w:t>revenue in the general ledger.</w:t>
      </w:r>
      <w:r w:rsidR="00AC5617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</w:p>
    <w:p w14:paraId="1FA9CD2E" w14:textId="773F7861" w:rsidR="00AC44BE" w:rsidRPr="004F699C" w:rsidRDefault="008D30CA" w:rsidP="004F699C">
      <w:pPr>
        <w:pStyle w:val="ListParagraph"/>
        <w:numPr>
          <w:ilvl w:val="0"/>
          <w:numId w:val="8"/>
        </w:numPr>
        <w:tabs>
          <w:tab w:val="left" w:pos="1180"/>
        </w:tabs>
        <w:spacing w:after="120" w:line="239" w:lineRule="auto"/>
        <w:ind w:left="878" w:right="161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A detailed analysis of the </w:t>
      </w:r>
      <w:r w:rsidR="00471947" w:rsidRPr="00E22272">
        <w:rPr>
          <w:rFonts w:ascii="Avenir Book" w:eastAsia="Times New Roman" w:hAnsi="Avenir Book" w:cs="Times New Roman"/>
          <w:sz w:val="20"/>
          <w:szCs w:val="20"/>
        </w:rPr>
        <w:t>costs incurred to support the 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  <w:r w:rsidR="00AE6536" w:rsidRPr="00E22272">
        <w:rPr>
          <w:rFonts w:ascii="Avenir Book" w:eastAsia="Times New Roman" w:hAnsi="Avenir Book" w:cs="Times New Roman"/>
          <w:sz w:val="20"/>
          <w:szCs w:val="20"/>
        </w:rPr>
        <w:t xml:space="preserve">(personnel and other than personnel services)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is prepared to </w:t>
      </w:r>
      <w:r w:rsidR="00B9334E" w:rsidRPr="00E22272">
        <w:rPr>
          <w:rFonts w:ascii="Avenir Book" w:eastAsia="Times New Roman" w:hAnsi="Avenir Book" w:cs="Times New Roman"/>
          <w:sz w:val="20"/>
          <w:szCs w:val="20"/>
        </w:rPr>
        <w:t xml:space="preserve">allocate and then </w:t>
      </w:r>
      <w:r w:rsidRPr="00E22272">
        <w:rPr>
          <w:rFonts w:ascii="Avenir Book" w:eastAsia="Times New Roman" w:hAnsi="Avenir Book" w:cs="Times New Roman"/>
          <w:sz w:val="20"/>
          <w:szCs w:val="20"/>
        </w:rPr>
        <w:t>segregate the costs of these services to the specific co</w:t>
      </w:r>
      <w:r w:rsidR="00B9334E" w:rsidRPr="00E22272">
        <w:rPr>
          <w:rFonts w:ascii="Avenir Book" w:eastAsia="Times New Roman" w:hAnsi="Avenir Book" w:cs="Times New Roman"/>
          <w:sz w:val="20"/>
          <w:szCs w:val="20"/>
        </w:rPr>
        <w:t>st center in the general ledger on a</w:t>
      </w:r>
      <w:r w:rsidR="00471947" w:rsidRPr="00E22272">
        <w:rPr>
          <w:rFonts w:ascii="Avenir Book" w:eastAsia="Times New Roman" w:hAnsi="Avenir Book" w:cs="Times New Roman"/>
          <w:sz w:val="20"/>
          <w:szCs w:val="20"/>
        </w:rPr>
        <w:t>t least a quarterly basis</w:t>
      </w:r>
      <w:r w:rsidR="00AC5617" w:rsidRPr="00E22272">
        <w:rPr>
          <w:rFonts w:ascii="Avenir Book" w:eastAsia="Times New Roman" w:hAnsi="Avenir Book" w:cs="Times New Roman"/>
          <w:sz w:val="20"/>
          <w:szCs w:val="20"/>
        </w:rPr>
        <w:t xml:space="preserve"> for the Abortion Services. </w:t>
      </w:r>
    </w:p>
    <w:p w14:paraId="7B82FE60" w14:textId="77777777" w:rsidR="00AB2BD6" w:rsidRPr="00E22272" w:rsidRDefault="00CF20B2" w:rsidP="002C2485">
      <w:pPr>
        <w:spacing w:after="120"/>
        <w:ind w:left="820"/>
        <w:rPr>
          <w:rFonts w:ascii="Avenir Book" w:hAnsi="Avenir Book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>Abortion Services:</w:t>
      </w:r>
    </w:p>
    <w:p w14:paraId="6B65AA33" w14:textId="7A272B84" w:rsidR="0005252D" w:rsidRPr="00E22272" w:rsidRDefault="00A32E73" w:rsidP="002C2485">
      <w:pPr>
        <w:pStyle w:val="ListParagraph"/>
        <w:numPr>
          <w:ilvl w:val="0"/>
          <w:numId w:val="5"/>
        </w:numPr>
        <w:tabs>
          <w:tab w:val="left" w:pos="1180"/>
        </w:tabs>
        <w:spacing w:after="120" w:line="240" w:lineRule="auto"/>
        <w:ind w:left="1541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The first step would be to generate the modified “charges by flexible groups report” from </w:t>
      </w:r>
      <w:r w:rsidR="00AC44BE">
        <w:rPr>
          <w:rFonts w:ascii="Avenir Book" w:eastAsia="Times New Roman" w:hAnsi="Avenir Book" w:cs="Times New Roman"/>
          <w:sz w:val="20"/>
          <w:szCs w:val="20"/>
        </w:rPr>
        <w:t>the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electronic health record.  The report will provide the name of the service provider, total </w:t>
      </w:r>
      <w:r w:rsidR="00312C6E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visits, associated gross charges for the </w:t>
      </w:r>
      <w:r w:rsidR="00312C6E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visits, and total charges for all of the provider visits for the specific period of time.  </w:t>
      </w:r>
    </w:p>
    <w:p w14:paraId="363F5426" w14:textId="77777777" w:rsidR="0005252D" w:rsidRPr="00E22272" w:rsidRDefault="00A32E73" w:rsidP="002C2485">
      <w:pPr>
        <w:pStyle w:val="ListParagraph"/>
        <w:numPr>
          <w:ilvl w:val="0"/>
          <w:numId w:val="5"/>
        </w:numPr>
        <w:tabs>
          <w:tab w:val="left" w:pos="1180"/>
        </w:tabs>
        <w:spacing w:after="120" w:line="240" w:lineRule="auto"/>
        <w:ind w:left="1541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We will then calculate the percentage of </w:t>
      </w:r>
      <w:r w:rsidR="00312C6E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charges to the total gross charges.  From our payroll system, we will gather the salary information paid to the provider for </w:t>
      </w:r>
      <w:r w:rsidRPr="00E22272">
        <w:rPr>
          <w:rFonts w:ascii="Avenir Book" w:eastAsia="Times New Roman" w:hAnsi="Avenir Book" w:cs="Times New Roman"/>
          <w:sz w:val="20"/>
          <w:szCs w:val="20"/>
        </w:rPr>
        <w:lastRenderedPageBreak/>
        <w:t xml:space="preserve">the </w:t>
      </w:r>
      <w:r w:rsidR="00FC21FC" w:rsidRPr="00E22272">
        <w:rPr>
          <w:rFonts w:ascii="Avenir Book" w:eastAsia="Times New Roman" w:hAnsi="Avenir Book" w:cs="Times New Roman"/>
          <w:sz w:val="20"/>
          <w:szCs w:val="20"/>
        </w:rPr>
        <w:t>same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period of time.  We will apply the percentage calculated above</w:t>
      </w:r>
      <w:r w:rsidR="00FC21FC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to the salary to determine the salary allocated to the </w:t>
      </w:r>
      <w:r w:rsidR="00FC21FC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services.   </w:t>
      </w:r>
    </w:p>
    <w:p w14:paraId="368C05C1" w14:textId="0D709DA5" w:rsidR="0005252D" w:rsidRPr="00E22272" w:rsidRDefault="00A32E73" w:rsidP="002C2485">
      <w:pPr>
        <w:pStyle w:val="ListParagraph"/>
        <w:numPr>
          <w:ilvl w:val="0"/>
          <w:numId w:val="5"/>
        </w:numPr>
        <w:tabs>
          <w:tab w:val="left" w:pos="1180"/>
        </w:tabs>
        <w:spacing w:after="120" w:line="240" w:lineRule="auto"/>
        <w:ind w:left="1541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We will utilize the same percentage to apply to the </w:t>
      </w:r>
      <w:r w:rsidR="0005252D" w:rsidRPr="00E22272">
        <w:rPr>
          <w:rFonts w:ascii="Avenir Book" w:eastAsia="Times New Roman" w:hAnsi="Avenir Book" w:cs="Times New Roman"/>
          <w:sz w:val="20"/>
          <w:szCs w:val="20"/>
        </w:rPr>
        <w:t xml:space="preserve">cost of </w:t>
      </w:r>
      <w:r w:rsidR="00AC44BE">
        <w:rPr>
          <w:rFonts w:ascii="Avenir Book" w:eastAsia="Times New Roman" w:hAnsi="Avenir Book" w:cs="Times New Roman"/>
          <w:sz w:val="20"/>
          <w:szCs w:val="20"/>
        </w:rPr>
        <w:t>direct support staff (registered nurses,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licensed practical nurses and medical assistants) who participate in the out of scope services.  </w:t>
      </w:r>
    </w:p>
    <w:p w14:paraId="34C58FAF" w14:textId="77777777" w:rsidR="0005252D" w:rsidRPr="00E22272" w:rsidRDefault="00C044B0" w:rsidP="002C2485">
      <w:pPr>
        <w:pStyle w:val="ListParagraph"/>
        <w:numPr>
          <w:ilvl w:val="0"/>
          <w:numId w:val="5"/>
        </w:numPr>
        <w:tabs>
          <w:tab w:val="left" w:pos="1180"/>
        </w:tabs>
        <w:spacing w:after="120" w:line="240" w:lineRule="auto"/>
        <w:ind w:left="1541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We will then apply the fringe benefit percentage for the period of time to the allocated salaries.  </w:t>
      </w:r>
    </w:p>
    <w:p w14:paraId="1A260CDC" w14:textId="14759B4B" w:rsidR="00E97B75" w:rsidRPr="00E22272" w:rsidRDefault="00C044B0" w:rsidP="002C2485">
      <w:pPr>
        <w:pStyle w:val="ListParagraph"/>
        <w:numPr>
          <w:ilvl w:val="0"/>
          <w:numId w:val="5"/>
        </w:numPr>
        <w:tabs>
          <w:tab w:val="left" w:pos="1180"/>
        </w:tabs>
        <w:spacing w:after="120" w:line="240" w:lineRule="auto"/>
        <w:ind w:left="1541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>We will then analyze the supply expense accounts in the trial balance to identify the applicable supplies used for the</w:t>
      </w:r>
      <w:r w:rsidR="0005252D" w:rsidRPr="00E22272">
        <w:rPr>
          <w:rFonts w:ascii="Avenir Book" w:eastAsia="Times New Roman" w:hAnsi="Avenir Book" w:cs="Times New Roman"/>
          <w:sz w:val="20"/>
          <w:szCs w:val="20"/>
        </w:rPr>
        <w:t xml:space="preserve"> 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services.  In order to strength</w:t>
      </w:r>
      <w:r w:rsidR="0005252D" w:rsidRPr="00E22272">
        <w:rPr>
          <w:rFonts w:ascii="Avenir Book" w:eastAsia="Times New Roman" w:hAnsi="Avenir Book" w:cs="Times New Roman"/>
          <w:sz w:val="20"/>
          <w:szCs w:val="20"/>
        </w:rPr>
        <w:t>en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the identification of the supplies purchased fo</w:t>
      </w:r>
      <w:r w:rsidR="003B0A88" w:rsidRPr="00E22272">
        <w:rPr>
          <w:rFonts w:ascii="Avenir Book" w:eastAsia="Times New Roman" w:hAnsi="Avenir Book" w:cs="Times New Roman"/>
          <w:sz w:val="20"/>
          <w:szCs w:val="20"/>
        </w:rPr>
        <w:t xml:space="preserve">r </w:t>
      </w:r>
      <w:r w:rsidR="0005252D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="003B0A88" w:rsidRPr="00E22272">
        <w:rPr>
          <w:rFonts w:ascii="Avenir Book" w:eastAsia="Times New Roman" w:hAnsi="Avenir Book" w:cs="Times New Roman"/>
          <w:sz w:val="20"/>
          <w:szCs w:val="20"/>
        </w:rPr>
        <w:t xml:space="preserve"> services, we have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communicate</w:t>
      </w:r>
      <w:r w:rsidR="003B0A88" w:rsidRPr="00E22272">
        <w:rPr>
          <w:rFonts w:ascii="Avenir Book" w:eastAsia="Times New Roman" w:hAnsi="Avenir Book" w:cs="Times New Roman"/>
          <w:sz w:val="20"/>
          <w:szCs w:val="20"/>
        </w:rPr>
        <w:t>d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with our purchasing department to not combine scope and </w:t>
      </w:r>
      <w:r w:rsidR="00312BAD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supplies on the same purchase order</w:t>
      </w:r>
      <w:r w:rsidR="00312BAD" w:rsidRPr="00E22272">
        <w:rPr>
          <w:rFonts w:ascii="Avenir Book" w:eastAsia="Times New Roman" w:hAnsi="Avenir Book" w:cs="Times New Roman"/>
          <w:sz w:val="20"/>
          <w:szCs w:val="20"/>
        </w:rPr>
        <w:t>.  This practice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will then produce separate invoices</w:t>
      </w:r>
      <w:r w:rsidR="00312BAD" w:rsidRPr="00E22272">
        <w:rPr>
          <w:rFonts w:ascii="Avenir Book" w:eastAsia="Times New Roman" w:hAnsi="Avenir Book" w:cs="Times New Roman"/>
          <w:sz w:val="20"/>
          <w:szCs w:val="20"/>
        </w:rPr>
        <w:t xml:space="preserve"> and </w:t>
      </w:r>
      <w:r w:rsidRPr="00E22272">
        <w:rPr>
          <w:rFonts w:ascii="Avenir Book" w:eastAsia="Times New Roman" w:hAnsi="Avenir Book" w:cs="Times New Roman"/>
          <w:sz w:val="20"/>
          <w:szCs w:val="20"/>
        </w:rPr>
        <w:t>will allow the</w:t>
      </w:r>
      <w:r w:rsidR="00312BAD" w:rsidRPr="00E22272">
        <w:rPr>
          <w:rFonts w:ascii="Avenir Book" w:eastAsia="Times New Roman" w:hAnsi="Avenir Book" w:cs="Times New Roman"/>
          <w:sz w:val="20"/>
          <w:szCs w:val="20"/>
        </w:rPr>
        <w:t xml:space="preserve"> supplies for OLB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services to</w:t>
      </w:r>
      <w:r w:rsidR="00AC44BE">
        <w:rPr>
          <w:rFonts w:ascii="Avenir Book" w:eastAsia="Times New Roman" w:hAnsi="Avenir Book" w:cs="Times New Roman"/>
          <w:sz w:val="20"/>
          <w:szCs w:val="20"/>
        </w:rPr>
        <w:t xml:space="preserve"> be only charged to the program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#3 in the general ledger.  </w:t>
      </w:r>
      <w:r w:rsidR="00621DBC" w:rsidRPr="00E22272">
        <w:rPr>
          <w:rFonts w:ascii="Avenir Book" w:eastAsia="Times New Roman" w:hAnsi="Avenir Book" w:cs="Times New Roman"/>
          <w:sz w:val="20"/>
          <w:szCs w:val="20"/>
        </w:rPr>
        <w:t>In addition, we will apply a medical cost per visit (which excludes vaccines) to the visits incurred for the period for the everyday medical supplies.</w:t>
      </w:r>
    </w:p>
    <w:p w14:paraId="40C8170F" w14:textId="77777777" w:rsidR="00D54D75" w:rsidRPr="00E22272" w:rsidRDefault="00C044B0" w:rsidP="002C2485">
      <w:pPr>
        <w:pStyle w:val="ListParagraph"/>
        <w:numPr>
          <w:ilvl w:val="0"/>
          <w:numId w:val="5"/>
        </w:numPr>
        <w:tabs>
          <w:tab w:val="left" w:pos="1180"/>
        </w:tabs>
        <w:spacing w:after="120" w:line="240" w:lineRule="auto"/>
        <w:ind w:left="1541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Once we have accounted for all of the direct expenses we will then apply our current approved federal indirect overhead rate </w:t>
      </w:r>
      <w:r w:rsidR="00E97B75" w:rsidRPr="00E22272">
        <w:rPr>
          <w:rFonts w:ascii="Avenir Book" w:eastAsia="Times New Roman" w:hAnsi="Avenir Book" w:cs="Times New Roman"/>
          <w:sz w:val="20"/>
          <w:szCs w:val="20"/>
        </w:rPr>
        <w:t xml:space="preserve">in accordance with its terms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to </w:t>
      </w:r>
      <w:r w:rsidR="00E97B75" w:rsidRPr="00E22272">
        <w:rPr>
          <w:rFonts w:ascii="Avenir Book" w:eastAsia="Times New Roman" w:hAnsi="Avenir Book" w:cs="Times New Roman"/>
          <w:sz w:val="20"/>
          <w:szCs w:val="20"/>
        </w:rPr>
        <w:t xml:space="preserve">charge a fair share of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indirect </w:t>
      </w:r>
      <w:r w:rsidR="00E97B75" w:rsidRPr="00E22272">
        <w:rPr>
          <w:rFonts w:ascii="Avenir Book" w:eastAsia="Times New Roman" w:hAnsi="Avenir Book" w:cs="Times New Roman"/>
          <w:sz w:val="20"/>
          <w:szCs w:val="20"/>
        </w:rPr>
        <w:t>cost</w:t>
      </w:r>
      <w:r w:rsidRPr="00E22272">
        <w:rPr>
          <w:rFonts w:ascii="Avenir Book" w:eastAsia="Times New Roman" w:hAnsi="Avenir Book" w:cs="Times New Roman"/>
          <w:sz w:val="20"/>
          <w:szCs w:val="20"/>
        </w:rPr>
        <w:t>s</w:t>
      </w:r>
      <w:r w:rsidR="00E97B75" w:rsidRPr="00E22272">
        <w:rPr>
          <w:rFonts w:ascii="Avenir Book" w:eastAsia="Times New Roman" w:hAnsi="Avenir Book" w:cs="Times New Roman"/>
          <w:sz w:val="20"/>
          <w:szCs w:val="20"/>
        </w:rPr>
        <w:t xml:space="preserve"> to OLB services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.  </w:t>
      </w:r>
    </w:p>
    <w:p w14:paraId="2D1C94F4" w14:textId="6A0763AD" w:rsidR="00863D6E" w:rsidRPr="004F699C" w:rsidRDefault="00C044B0" w:rsidP="004F699C">
      <w:pPr>
        <w:pStyle w:val="ListParagraph"/>
        <w:numPr>
          <w:ilvl w:val="0"/>
          <w:numId w:val="5"/>
        </w:numPr>
        <w:tabs>
          <w:tab w:val="left" w:pos="1180"/>
        </w:tabs>
        <w:spacing w:after="120" w:line="240" w:lineRule="auto"/>
        <w:ind w:left="1541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>We will then prepare a journal entry and real</w:t>
      </w:r>
      <w:r w:rsidR="00D54D75" w:rsidRPr="00E22272">
        <w:rPr>
          <w:rFonts w:ascii="Avenir Book" w:eastAsia="Times New Roman" w:hAnsi="Avenir Book" w:cs="Times New Roman"/>
          <w:sz w:val="20"/>
          <w:szCs w:val="20"/>
        </w:rPr>
        <w:t>locate the revenues and costs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from the original posting in the general ledger to the designated </w:t>
      </w:r>
      <w:r w:rsidR="00863D6E" w:rsidRPr="00E22272">
        <w:rPr>
          <w:rFonts w:ascii="Avenir Book" w:eastAsia="Times New Roman" w:hAnsi="Avenir Book" w:cs="Times New Roman"/>
          <w:sz w:val="20"/>
          <w:szCs w:val="20"/>
        </w:rPr>
        <w:t>program</w:t>
      </w:r>
      <w:r w:rsidR="00263A9A" w:rsidRPr="00E22272">
        <w:rPr>
          <w:rFonts w:ascii="Avenir Book" w:eastAsia="Times New Roman" w:hAnsi="Avenir Book" w:cs="Times New Roman"/>
          <w:sz w:val="20"/>
          <w:szCs w:val="20"/>
        </w:rPr>
        <w:t>.  This entry will be prepared by the senior accountant, reviewed and signed off on by both the controller and chief financial officer before it is posted into the general ledger.</w:t>
      </w:r>
    </w:p>
    <w:p w14:paraId="2007EEBA" w14:textId="54C963F6" w:rsidR="00863D6E" w:rsidRPr="004F699C" w:rsidRDefault="00263A9A" w:rsidP="004F699C">
      <w:pPr>
        <w:pStyle w:val="ListParagraph"/>
        <w:numPr>
          <w:ilvl w:val="0"/>
          <w:numId w:val="10"/>
        </w:numPr>
        <w:tabs>
          <w:tab w:val="left" w:pos="1180"/>
        </w:tabs>
        <w:spacing w:after="120" w:line="240" w:lineRule="auto"/>
        <w:ind w:left="878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Teaching Health Center Grant 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(THC) </w:t>
      </w:r>
      <w:r w:rsidRPr="00E22272">
        <w:rPr>
          <w:rFonts w:ascii="Avenir Book" w:eastAsia="Times New Roman" w:hAnsi="Avenir Book" w:cs="Times New Roman"/>
          <w:sz w:val="20"/>
          <w:szCs w:val="20"/>
        </w:rPr>
        <w:t>and Residents:</w:t>
      </w:r>
      <w:r w:rsidR="009F1BE8" w:rsidRPr="00E22272">
        <w:rPr>
          <w:rFonts w:ascii="Avenir Book" w:eastAsia="Times New Roman" w:hAnsi="Avenir Book" w:cs="Times New Roman"/>
          <w:sz w:val="20"/>
          <w:szCs w:val="20"/>
        </w:rPr>
        <w:t xml:space="preserve"> 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In order </w:t>
      </w:r>
      <w:proofErr w:type="gramStart"/>
      <w:r w:rsidRPr="00E22272">
        <w:rPr>
          <w:rFonts w:ascii="Avenir Book" w:eastAsia="Times New Roman" w:hAnsi="Avenir Book" w:cs="Times New Roman"/>
          <w:sz w:val="20"/>
          <w:szCs w:val="20"/>
        </w:rPr>
        <w:t>to insure that</w:t>
      </w:r>
      <w:proofErr w:type="gramEnd"/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the </w:t>
      </w:r>
      <w:r w:rsidR="000F3713" w:rsidRPr="00E22272">
        <w:rPr>
          <w:rFonts w:ascii="Avenir Book" w:eastAsia="Times New Roman" w:hAnsi="Avenir Book" w:cs="Times New Roman"/>
          <w:sz w:val="20"/>
          <w:szCs w:val="20"/>
        </w:rPr>
        <w:t>Health Center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is not drawing down Federal fund</w:t>
      </w:r>
      <w:r w:rsidR="00FB1FBC" w:rsidRPr="00E22272">
        <w:rPr>
          <w:rFonts w:ascii="Avenir Book" w:eastAsia="Times New Roman" w:hAnsi="Avenir Book" w:cs="Times New Roman"/>
          <w:sz w:val="20"/>
          <w:szCs w:val="20"/>
        </w:rPr>
        <w:t>s on any provider who</w:t>
      </w:r>
      <w:r w:rsidR="009F1BE8" w:rsidRPr="00E22272">
        <w:rPr>
          <w:rFonts w:ascii="Avenir Book" w:eastAsia="Times New Roman" w:hAnsi="Avenir Book" w:cs="Times New Roman"/>
          <w:sz w:val="20"/>
          <w:szCs w:val="20"/>
        </w:rPr>
        <w:t>se</w:t>
      </w:r>
      <w:r w:rsidR="00FB1FBC" w:rsidRPr="00E22272">
        <w:rPr>
          <w:rFonts w:ascii="Avenir Book" w:eastAsia="Times New Roman" w:hAnsi="Avenir Book" w:cs="Times New Roman"/>
          <w:sz w:val="20"/>
          <w:szCs w:val="20"/>
        </w:rPr>
        <w:t xml:space="preserve"> salary is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 charged to the Teaching Health Center grant</w:t>
      </w:r>
      <w:r w:rsidR="00D54D75" w:rsidRPr="00E22272">
        <w:rPr>
          <w:rFonts w:ascii="Avenir Book" w:eastAsia="Times New Roman" w:hAnsi="Avenir Book" w:cs="Times New Roman"/>
          <w:sz w:val="20"/>
          <w:szCs w:val="20"/>
        </w:rPr>
        <w:t xml:space="preserve"> that is performing any OBL services</w:t>
      </w:r>
      <w:r w:rsidR="009F1BE8" w:rsidRPr="00E22272">
        <w:rPr>
          <w:rFonts w:ascii="Avenir Book" w:eastAsia="Times New Roman" w:hAnsi="Avenir Book" w:cs="Times New Roman"/>
          <w:sz w:val="20"/>
          <w:szCs w:val="20"/>
        </w:rPr>
        <w:t>,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 we will </w:t>
      </w:r>
      <w:r w:rsidR="00D54D75" w:rsidRPr="00E22272">
        <w:rPr>
          <w:rFonts w:ascii="Avenir Book" w:eastAsia="Times New Roman" w:hAnsi="Avenir Book" w:cs="Times New Roman"/>
          <w:sz w:val="20"/>
          <w:szCs w:val="20"/>
        </w:rPr>
        <w:t xml:space="preserve">discount the draw based on the prior month’s percentage of OBL charges to Total charges. 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 </w:t>
      </w:r>
      <w:r w:rsidR="00D54D75" w:rsidRPr="00E22272">
        <w:rPr>
          <w:rFonts w:ascii="Avenir Book" w:eastAsia="Times New Roman" w:hAnsi="Avenir Book" w:cs="Times New Roman"/>
          <w:sz w:val="20"/>
          <w:szCs w:val="20"/>
        </w:rPr>
        <w:t xml:space="preserve">The </w:t>
      </w:r>
      <w:r w:rsidR="008F00C2" w:rsidRPr="00E22272">
        <w:rPr>
          <w:rFonts w:ascii="Avenir Book" w:eastAsia="Times New Roman" w:hAnsi="Avenir Book" w:cs="Times New Roman"/>
          <w:sz w:val="20"/>
          <w:szCs w:val="20"/>
        </w:rPr>
        <w:t xml:space="preserve">original 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percentage </w:t>
      </w:r>
      <w:r w:rsidR="00D54D75" w:rsidRPr="00E22272">
        <w:rPr>
          <w:rFonts w:ascii="Avenir Book" w:eastAsia="Times New Roman" w:hAnsi="Avenir Book" w:cs="Times New Roman"/>
          <w:sz w:val="20"/>
          <w:szCs w:val="20"/>
        </w:rPr>
        <w:t xml:space="preserve">will </w:t>
      </w:r>
      <w:proofErr w:type="gramStart"/>
      <w:r w:rsidR="009A028C" w:rsidRPr="00E22272">
        <w:rPr>
          <w:rFonts w:ascii="Avenir Book" w:eastAsia="Times New Roman" w:hAnsi="Avenir Book" w:cs="Times New Roman"/>
          <w:sz w:val="20"/>
          <w:szCs w:val="20"/>
        </w:rPr>
        <w:t>based</w:t>
      </w:r>
      <w:proofErr w:type="gramEnd"/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 on </w:t>
      </w:r>
      <w:r w:rsidR="00863D6E" w:rsidRPr="00E22272">
        <w:rPr>
          <w:rFonts w:ascii="Avenir Book" w:eastAsia="Times New Roman" w:hAnsi="Avenir Book" w:cs="Times New Roman"/>
          <w:sz w:val="20"/>
          <w:szCs w:val="20"/>
        </w:rPr>
        <w:t>p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rior year information of </w:t>
      </w:r>
      <w:r w:rsidR="009F1BE8" w:rsidRPr="00E22272">
        <w:rPr>
          <w:rFonts w:ascii="Avenir Book" w:eastAsia="Times New Roman" w:hAnsi="Avenir Book" w:cs="Times New Roman"/>
          <w:sz w:val="20"/>
          <w:szCs w:val="20"/>
        </w:rPr>
        <w:t xml:space="preserve">OLB 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services gross charges to total gross charges for those service providers charged to the THC grant.  We will update this discount percentage on a quarterly basis based on the prior quarter information.  This percentage will be applied to the salaries incurred on the THC salaries.  This discount will ensure that we are not charging </w:t>
      </w:r>
      <w:r w:rsidR="00DE4C5E" w:rsidRPr="00E22272">
        <w:rPr>
          <w:rFonts w:ascii="Avenir Book" w:eastAsia="Times New Roman" w:hAnsi="Avenir Book" w:cs="Times New Roman"/>
          <w:sz w:val="20"/>
          <w:szCs w:val="20"/>
        </w:rPr>
        <w:t>OLB</w:t>
      </w:r>
      <w:r w:rsidR="009A028C" w:rsidRPr="00E22272">
        <w:rPr>
          <w:rFonts w:ascii="Avenir Book" w:eastAsia="Times New Roman" w:hAnsi="Avenir Book" w:cs="Times New Roman"/>
          <w:sz w:val="20"/>
          <w:szCs w:val="20"/>
        </w:rPr>
        <w:t xml:space="preserve"> services to the THC grant.</w:t>
      </w:r>
    </w:p>
    <w:p w14:paraId="76AD6AAA" w14:textId="6A3E2A43" w:rsidR="00AC44BE" w:rsidRPr="004F699C" w:rsidRDefault="00DA0D41" w:rsidP="004F699C">
      <w:pPr>
        <w:pStyle w:val="ListParagraph"/>
        <w:numPr>
          <w:ilvl w:val="0"/>
          <w:numId w:val="10"/>
        </w:numPr>
        <w:tabs>
          <w:tab w:val="left" w:pos="1180"/>
        </w:tabs>
        <w:spacing w:after="120" w:line="240" w:lineRule="auto"/>
        <w:ind w:left="878"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>A summary report is maintained for each of the</w:t>
      </w:r>
      <w:r w:rsidR="00D12F71" w:rsidRPr="00E22272">
        <w:rPr>
          <w:rFonts w:ascii="Avenir Book" w:eastAsia="Times New Roman" w:hAnsi="Avenir Book" w:cs="Times New Roman"/>
          <w:sz w:val="20"/>
          <w:szCs w:val="20"/>
        </w:rPr>
        <w:t xml:space="preserve"> OLB services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to ensure that the programs are generating income </w:t>
      </w:r>
      <w:r w:rsidR="00D12F71" w:rsidRPr="00E22272">
        <w:rPr>
          <w:rFonts w:ascii="Avenir Book" w:eastAsia="Times New Roman" w:hAnsi="Avenir Book" w:cs="Times New Roman"/>
          <w:sz w:val="20"/>
          <w:szCs w:val="20"/>
        </w:rPr>
        <w:t xml:space="preserve">in excess of the costs incurred to support those services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since the </w:t>
      </w:r>
      <w:r w:rsidR="00D12F71" w:rsidRPr="00E22272">
        <w:rPr>
          <w:rFonts w:ascii="Avenir Book" w:eastAsia="Times New Roman" w:hAnsi="Avenir Book" w:cs="Times New Roman"/>
          <w:sz w:val="20"/>
          <w:szCs w:val="20"/>
        </w:rPr>
        <w:t xml:space="preserve">OLB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programs need to be generating positive net income to sustain </w:t>
      </w:r>
      <w:r w:rsidR="00364171" w:rsidRPr="00E22272">
        <w:rPr>
          <w:rFonts w:ascii="Avenir Book" w:eastAsia="Times New Roman" w:hAnsi="Avenir Book" w:cs="Times New Roman"/>
          <w:sz w:val="20"/>
          <w:szCs w:val="20"/>
        </w:rPr>
        <w:t>the services</w:t>
      </w:r>
      <w:r w:rsidRPr="00E22272">
        <w:rPr>
          <w:rFonts w:ascii="Avenir Book" w:eastAsia="Times New Roman" w:hAnsi="Avenir Book" w:cs="Times New Roman"/>
          <w:sz w:val="20"/>
          <w:szCs w:val="20"/>
        </w:rPr>
        <w:t>.</w:t>
      </w:r>
    </w:p>
    <w:p w14:paraId="21508C57" w14:textId="77777777" w:rsidR="004F699C" w:rsidRDefault="004F699C" w:rsidP="002C2485">
      <w:pPr>
        <w:tabs>
          <w:tab w:val="left" w:pos="1180"/>
        </w:tabs>
        <w:spacing w:after="120" w:line="239" w:lineRule="auto"/>
        <w:ind w:right="161"/>
        <w:jc w:val="both"/>
        <w:rPr>
          <w:rFonts w:ascii="Avenir Book" w:eastAsia="Times New Roman" w:hAnsi="Avenir Book" w:cs="Times New Roman"/>
          <w:b/>
          <w:sz w:val="20"/>
          <w:szCs w:val="20"/>
        </w:rPr>
      </w:pPr>
    </w:p>
    <w:p w14:paraId="0F0E5D85" w14:textId="254E5411" w:rsidR="007433A1" w:rsidRPr="002C2485" w:rsidRDefault="007433A1" w:rsidP="002C2485">
      <w:pPr>
        <w:tabs>
          <w:tab w:val="left" w:pos="1180"/>
        </w:tabs>
        <w:spacing w:after="120" w:line="239" w:lineRule="auto"/>
        <w:ind w:right="161"/>
        <w:jc w:val="both"/>
        <w:rPr>
          <w:rFonts w:ascii="Avenir Book" w:eastAsia="Times New Roman" w:hAnsi="Avenir Book" w:cs="Times New Roman"/>
          <w:b/>
          <w:sz w:val="20"/>
          <w:szCs w:val="20"/>
          <w:u w:val="single"/>
        </w:rPr>
      </w:pPr>
      <w:r w:rsidRPr="00E22272">
        <w:rPr>
          <w:rFonts w:ascii="Avenir Book" w:eastAsia="Times New Roman" w:hAnsi="Avenir Book" w:cs="Times New Roman"/>
          <w:b/>
          <w:sz w:val="20"/>
          <w:szCs w:val="20"/>
        </w:rPr>
        <w:t xml:space="preserve">IV.         </w:t>
      </w:r>
      <w:r w:rsidRPr="00E22272">
        <w:rPr>
          <w:rFonts w:ascii="Avenir Book" w:eastAsia="Times New Roman" w:hAnsi="Avenir Book" w:cs="Times New Roman"/>
          <w:b/>
          <w:sz w:val="20"/>
          <w:szCs w:val="20"/>
          <w:u w:val="single"/>
        </w:rPr>
        <w:t>Other Matters:</w:t>
      </w:r>
    </w:p>
    <w:p w14:paraId="776A8283" w14:textId="330C3B4C" w:rsidR="00AC44BE" w:rsidRPr="002C2485" w:rsidRDefault="007433A1" w:rsidP="004F699C">
      <w:pPr>
        <w:pStyle w:val="ListParagraph"/>
        <w:numPr>
          <w:ilvl w:val="0"/>
          <w:numId w:val="13"/>
        </w:numPr>
        <w:tabs>
          <w:tab w:val="left" w:pos="1180"/>
        </w:tabs>
        <w:spacing w:after="120" w:line="240" w:lineRule="auto"/>
        <w:ind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The staff involved with the </w:t>
      </w:r>
      <w:r w:rsidR="00A12766" w:rsidRPr="00E22272">
        <w:rPr>
          <w:rFonts w:ascii="Avenir Book" w:eastAsia="Times New Roman" w:hAnsi="Avenir Book" w:cs="Times New Roman"/>
          <w:sz w:val="20"/>
          <w:szCs w:val="20"/>
        </w:rPr>
        <w:t xml:space="preserve">accounting </w:t>
      </w:r>
      <w:r w:rsidR="00364171" w:rsidRPr="00E22272">
        <w:rPr>
          <w:rFonts w:ascii="Avenir Book" w:eastAsia="Times New Roman" w:hAnsi="Avenir Book" w:cs="Times New Roman"/>
          <w:sz w:val="20"/>
          <w:szCs w:val="20"/>
        </w:rPr>
        <w:t xml:space="preserve">(finance and purchasing department staff) </w:t>
      </w:r>
      <w:r w:rsidR="00A12766" w:rsidRPr="00E22272">
        <w:rPr>
          <w:rFonts w:ascii="Avenir Book" w:eastAsia="Times New Roman" w:hAnsi="Avenir Book" w:cs="Times New Roman"/>
          <w:sz w:val="20"/>
          <w:szCs w:val="20"/>
        </w:rPr>
        <w:t xml:space="preserve">for the </w:t>
      </w:r>
      <w:r w:rsidRPr="00E22272">
        <w:rPr>
          <w:rFonts w:ascii="Avenir Book" w:eastAsia="Times New Roman" w:hAnsi="Avenir Book" w:cs="Times New Roman"/>
          <w:sz w:val="20"/>
          <w:szCs w:val="20"/>
        </w:rPr>
        <w:t>other lines of business will be trained immediately on these new procedures.  In addition, we will conduct ann</w:t>
      </w:r>
      <w:r w:rsidR="00A12766" w:rsidRPr="00E22272">
        <w:rPr>
          <w:rFonts w:ascii="Avenir Book" w:eastAsia="Times New Roman" w:hAnsi="Avenir Book" w:cs="Times New Roman"/>
          <w:sz w:val="20"/>
          <w:szCs w:val="20"/>
        </w:rPr>
        <w:t xml:space="preserve">ual trainings to ensure that the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staff </w:t>
      </w:r>
      <w:r w:rsidR="00A12766" w:rsidRPr="00E22272">
        <w:rPr>
          <w:rFonts w:ascii="Avenir Book" w:eastAsia="Times New Roman" w:hAnsi="Avenir Book" w:cs="Times New Roman"/>
          <w:sz w:val="20"/>
          <w:szCs w:val="20"/>
        </w:rPr>
        <w:t xml:space="preserve">involved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are fully knowledgeable of </w:t>
      </w:r>
      <w:r w:rsidR="00A12766" w:rsidRPr="00E22272">
        <w:rPr>
          <w:rFonts w:ascii="Avenir Book" w:eastAsia="Times New Roman" w:hAnsi="Avenir Book" w:cs="Times New Roman"/>
          <w:sz w:val="20"/>
          <w:szCs w:val="20"/>
        </w:rPr>
        <w:t xml:space="preserve">the required 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procedures.  </w:t>
      </w:r>
    </w:p>
    <w:p w14:paraId="2B2BA4C1" w14:textId="5787EB20" w:rsidR="00A12766" w:rsidRPr="004F699C" w:rsidRDefault="007433A1" w:rsidP="004F699C">
      <w:pPr>
        <w:pStyle w:val="ListParagraph"/>
        <w:numPr>
          <w:ilvl w:val="0"/>
          <w:numId w:val="13"/>
        </w:numPr>
        <w:tabs>
          <w:tab w:val="left" w:pos="1180"/>
        </w:tabs>
        <w:spacing w:after="120" w:line="240" w:lineRule="auto"/>
        <w:ind w:right="158"/>
        <w:contextualSpacing w:val="0"/>
        <w:jc w:val="both"/>
        <w:rPr>
          <w:rFonts w:ascii="Avenir Book" w:eastAsia="Times New Roman" w:hAnsi="Avenir Book" w:cs="Times New Roman"/>
          <w:sz w:val="20"/>
          <w:szCs w:val="20"/>
        </w:rPr>
      </w:pP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On an annual </w:t>
      </w:r>
      <w:r w:rsidR="00AC44BE" w:rsidRPr="00E22272">
        <w:rPr>
          <w:rFonts w:ascii="Avenir Book" w:eastAsia="Times New Roman" w:hAnsi="Avenir Book" w:cs="Times New Roman"/>
          <w:sz w:val="20"/>
          <w:szCs w:val="20"/>
        </w:rPr>
        <w:t>basis,</w:t>
      </w:r>
      <w:r w:rsidRPr="00E22272">
        <w:rPr>
          <w:rFonts w:ascii="Avenir Book" w:eastAsia="Times New Roman" w:hAnsi="Avenir Book" w:cs="Times New Roman"/>
          <w:sz w:val="20"/>
          <w:szCs w:val="20"/>
        </w:rPr>
        <w:t xml:space="preserve"> the other lines of business policy will be reviewed and updated if necessary</w:t>
      </w:r>
      <w:r w:rsidR="00A12766" w:rsidRPr="00E22272">
        <w:rPr>
          <w:rFonts w:ascii="Avenir Book" w:eastAsia="Times New Roman" w:hAnsi="Avenir Book" w:cs="Times New Roman"/>
          <w:sz w:val="20"/>
          <w:szCs w:val="20"/>
        </w:rPr>
        <w:t>.</w:t>
      </w:r>
    </w:p>
    <w:p w14:paraId="445C5D06" w14:textId="77777777" w:rsidR="00A12766" w:rsidRPr="00E22272" w:rsidRDefault="00A12766" w:rsidP="00A27526">
      <w:pPr>
        <w:tabs>
          <w:tab w:val="left" w:pos="1180"/>
        </w:tabs>
        <w:spacing w:after="0" w:line="239" w:lineRule="auto"/>
        <w:ind w:right="161"/>
        <w:jc w:val="both"/>
        <w:rPr>
          <w:rFonts w:ascii="Avenir Book" w:eastAsia="Times New Roman" w:hAnsi="Avenir Book" w:cs="Times New Roman"/>
          <w:sz w:val="24"/>
          <w:szCs w:val="24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130"/>
        <w:gridCol w:w="932"/>
        <w:gridCol w:w="930"/>
        <w:gridCol w:w="932"/>
        <w:gridCol w:w="932"/>
        <w:gridCol w:w="934"/>
        <w:gridCol w:w="932"/>
        <w:gridCol w:w="934"/>
        <w:gridCol w:w="932"/>
      </w:tblGrid>
      <w:tr w:rsidR="00A12766" w:rsidRPr="00E22272" w14:paraId="2C000D2B" w14:textId="77777777" w:rsidTr="00084329">
        <w:tc>
          <w:tcPr>
            <w:tcW w:w="1053" w:type="dxa"/>
          </w:tcPr>
          <w:p w14:paraId="26699203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Task</w:t>
            </w:r>
          </w:p>
        </w:tc>
        <w:tc>
          <w:tcPr>
            <w:tcW w:w="932" w:type="dxa"/>
          </w:tcPr>
          <w:p w14:paraId="3B1346F8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Date</w:t>
            </w:r>
          </w:p>
        </w:tc>
        <w:tc>
          <w:tcPr>
            <w:tcW w:w="930" w:type="dxa"/>
          </w:tcPr>
          <w:p w14:paraId="6D9675AD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Sign Off</w:t>
            </w:r>
          </w:p>
        </w:tc>
        <w:tc>
          <w:tcPr>
            <w:tcW w:w="932" w:type="dxa"/>
          </w:tcPr>
          <w:p w14:paraId="402D6908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Date</w:t>
            </w:r>
          </w:p>
        </w:tc>
        <w:tc>
          <w:tcPr>
            <w:tcW w:w="932" w:type="dxa"/>
          </w:tcPr>
          <w:p w14:paraId="29232310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Sign Off</w:t>
            </w:r>
          </w:p>
        </w:tc>
        <w:tc>
          <w:tcPr>
            <w:tcW w:w="934" w:type="dxa"/>
          </w:tcPr>
          <w:p w14:paraId="4404D768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 xml:space="preserve">Date </w:t>
            </w:r>
          </w:p>
        </w:tc>
        <w:tc>
          <w:tcPr>
            <w:tcW w:w="932" w:type="dxa"/>
          </w:tcPr>
          <w:p w14:paraId="08C88C46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Sign off</w:t>
            </w:r>
          </w:p>
        </w:tc>
        <w:tc>
          <w:tcPr>
            <w:tcW w:w="934" w:type="dxa"/>
          </w:tcPr>
          <w:p w14:paraId="10BA0497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Date</w:t>
            </w:r>
          </w:p>
        </w:tc>
        <w:tc>
          <w:tcPr>
            <w:tcW w:w="932" w:type="dxa"/>
          </w:tcPr>
          <w:p w14:paraId="4B4EE04F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Sign Off</w:t>
            </w:r>
          </w:p>
        </w:tc>
      </w:tr>
      <w:tr w:rsidR="00A12766" w:rsidRPr="00E22272" w14:paraId="7A8CD60D" w14:textId="77777777" w:rsidTr="00084329">
        <w:tc>
          <w:tcPr>
            <w:tcW w:w="1053" w:type="dxa"/>
          </w:tcPr>
          <w:p w14:paraId="1905F5A1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Policy review</w:t>
            </w:r>
          </w:p>
        </w:tc>
        <w:tc>
          <w:tcPr>
            <w:tcW w:w="932" w:type="dxa"/>
          </w:tcPr>
          <w:p w14:paraId="14ACCE26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46D452C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2F0379C2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362D9F9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250FEC5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284AB930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5AF3663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3DC64689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</w:tr>
      <w:tr w:rsidR="00A12766" w:rsidRPr="00E22272" w14:paraId="0914408F" w14:textId="77777777" w:rsidTr="00084329">
        <w:tc>
          <w:tcPr>
            <w:tcW w:w="1053" w:type="dxa"/>
          </w:tcPr>
          <w:p w14:paraId="07FC9A3A" w14:textId="77777777" w:rsidR="00A12766" w:rsidRPr="00E22272" w:rsidRDefault="00A12766" w:rsidP="00A12766">
            <w:pPr>
              <w:tabs>
                <w:tab w:val="left" w:pos="1180"/>
              </w:tabs>
              <w:spacing w:after="200"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16"/>
                <w:szCs w:val="16"/>
              </w:rPr>
            </w:pPr>
            <w:r w:rsidRPr="00E22272">
              <w:rPr>
                <w:rFonts w:ascii="Avenir Book" w:eastAsia="Times New Roman" w:hAnsi="Avenir Book" w:cs="Times New Roman"/>
                <w:sz w:val="16"/>
                <w:szCs w:val="16"/>
              </w:rPr>
              <w:t>Training Performed</w:t>
            </w:r>
          </w:p>
        </w:tc>
        <w:tc>
          <w:tcPr>
            <w:tcW w:w="932" w:type="dxa"/>
          </w:tcPr>
          <w:p w14:paraId="00B54CF6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6561B16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7059EACA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44913DD8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2FE680E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44EA99BB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718810F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021C0C65" w14:textId="77777777" w:rsidR="00A12766" w:rsidRPr="00E22272" w:rsidRDefault="00A12766" w:rsidP="00A12766">
            <w:pPr>
              <w:tabs>
                <w:tab w:val="left" w:pos="1180"/>
              </w:tabs>
              <w:spacing w:line="239" w:lineRule="auto"/>
              <w:ind w:right="161"/>
              <w:jc w:val="both"/>
              <w:rPr>
                <w:rFonts w:ascii="Avenir Book" w:eastAsia="Times New Roman" w:hAnsi="Avenir Book" w:cs="Times New Roman"/>
                <w:sz w:val="24"/>
                <w:szCs w:val="24"/>
              </w:rPr>
            </w:pPr>
          </w:p>
        </w:tc>
      </w:tr>
    </w:tbl>
    <w:p w14:paraId="68FD5476" w14:textId="77777777" w:rsidR="00A12766" w:rsidRPr="00E22272" w:rsidRDefault="00A12766" w:rsidP="00A27526">
      <w:pPr>
        <w:tabs>
          <w:tab w:val="left" w:pos="1180"/>
        </w:tabs>
        <w:spacing w:after="0" w:line="239" w:lineRule="auto"/>
        <w:ind w:right="161"/>
        <w:jc w:val="both"/>
        <w:rPr>
          <w:rFonts w:ascii="Avenir Book" w:eastAsia="Times New Roman" w:hAnsi="Avenir Book" w:cs="Times New Roman"/>
          <w:sz w:val="24"/>
          <w:szCs w:val="24"/>
        </w:rPr>
      </w:pPr>
    </w:p>
    <w:p w14:paraId="599E31A3" w14:textId="77777777" w:rsidR="007433A1" w:rsidRPr="00E22272" w:rsidRDefault="007433A1" w:rsidP="00A27526">
      <w:pPr>
        <w:tabs>
          <w:tab w:val="left" w:pos="1180"/>
        </w:tabs>
        <w:spacing w:after="0" w:line="239" w:lineRule="auto"/>
        <w:ind w:right="161"/>
        <w:jc w:val="both"/>
        <w:rPr>
          <w:rFonts w:ascii="Avenir Book" w:eastAsia="Times New Roman" w:hAnsi="Avenir Book" w:cs="Times New Roman"/>
          <w:sz w:val="24"/>
          <w:szCs w:val="24"/>
        </w:rPr>
      </w:pPr>
    </w:p>
    <w:p w14:paraId="24E311A8" w14:textId="77777777" w:rsidR="00F941B8" w:rsidRPr="00E22272" w:rsidRDefault="00F941B8">
      <w:pPr>
        <w:spacing w:after="0" w:line="240" w:lineRule="auto"/>
        <w:ind w:left="460" w:right="844"/>
        <w:rPr>
          <w:rFonts w:ascii="Avenir Book" w:eastAsia="Times New Roman" w:hAnsi="Avenir Book" w:cs="Times New Roman"/>
          <w:sz w:val="24"/>
          <w:szCs w:val="24"/>
        </w:rPr>
      </w:pPr>
    </w:p>
    <w:sectPr w:rsidR="00F941B8" w:rsidRPr="00E22272" w:rsidSect="00A15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A459C" w14:textId="77777777" w:rsidR="00BB3DBA" w:rsidRDefault="00BB3DBA">
      <w:pPr>
        <w:spacing w:after="0" w:line="240" w:lineRule="auto"/>
      </w:pPr>
      <w:r>
        <w:separator/>
      </w:r>
    </w:p>
  </w:endnote>
  <w:endnote w:type="continuationSeparator" w:id="0">
    <w:p w14:paraId="00829793" w14:textId="77777777" w:rsidR="00BB3DBA" w:rsidRDefault="00BB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CCA23" w14:textId="38BB06D2" w:rsidR="001C1E4E" w:rsidRPr="00A15045" w:rsidRDefault="004F699C" w:rsidP="00863D6E">
    <w:pPr>
      <w:pStyle w:val="Footer"/>
      <w:ind w:right="360"/>
      <w:rPr>
        <w:rFonts w:ascii="Avenir Book" w:hAnsi="Avenir Book"/>
      </w:rPr>
    </w:pPr>
    <w:r w:rsidRPr="00A15045">
      <w:rPr>
        <w:rFonts w:ascii="Avenir Book" w:hAnsi="Avenir Book"/>
        <w:noProof/>
      </w:rPr>
      <w:drawing>
        <wp:anchor distT="0" distB="0" distL="114300" distR="114300" simplePos="0" relativeHeight="251659264" behindDoc="1" locked="0" layoutInCell="1" allowOverlap="1" wp14:editId="5C48760F">
          <wp:simplePos x="0" y="0"/>
          <wp:positionH relativeFrom="column">
            <wp:posOffset>5027295</wp:posOffset>
          </wp:positionH>
          <wp:positionV relativeFrom="paragraph">
            <wp:posOffset>49530</wp:posOffset>
          </wp:positionV>
          <wp:extent cx="989330" cy="482600"/>
          <wp:effectExtent l="0" t="0" r="1270" b="0"/>
          <wp:wrapThrough wrapText="bothSides">
            <wp:wrapPolygon edited="0">
              <wp:start x="0" y="0"/>
              <wp:lineTo x="0" y="20463"/>
              <wp:lineTo x="21073" y="20463"/>
              <wp:lineTo x="2107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045" w:rsidRPr="00A15045">
      <w:rPr>
        <w:rFonts w:ascii="Avenir Book" w:hAnsi="Avenir Book"/>
      </w:rPr>
      <w:t>March 2017/www.reproductiveaccess.org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9C97" w14:textId="39590943" w:rsidR="00A15045" w:rsidRPr="00A15045" w:rsidRDefault="00A15045">
    <w:pPr>
      <w:pStyle w:val="Footer"/>
    </w:pPr>
    <w:r>
      <w:rPr>
        <w:rFonts w:ascii="Avenir Book" w:hAnsi="Avenir Book"/>
        <w:noProof/>
      </w:rPr>
      <w:drawing>
        <wp:anchor distT="0" distB="0" distL="114300" distR="114300" simplePos="0" relativeHeight="251660288" behindDoc="1" locked="0" layoutInCell="1" allowOverlap="1" wp14:editId="021E9C11">
          <wp:simplePos x="0" y="0"/>
          <wp:positionH relativeFrom="column">
            <wp:posOffset>4986020</wp:posOffset>
          </wp:positionH>
          <wp:positionV relativeFrom="paragraph">
            <wp:posOffset>73025</wp:posOffset>
          </wp:positionV>
          <wp:extent cx="989330" cy="482600"/>
          <wp:effectExtent l="0" t="0" r="1270" b="0"/>
          <wp:wrapThrough wrapText="bothSides">
            <wp:wrapPolygon edited="0">
              <wp:start x="0" y="0"/>
              <wp:lineTo x="0" y="20463"/>
              <wp:lineTo x="21073" y="20463"/>
              <wp:lineTo x="2107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45">
      <w:rPr>
        <w:rFonts w:ascii="Avenir Book" w:hAnsi="Avenir Book"/>
      </w:rPr>
      <w:t>March 2017/www.reproductiveaccess.org</w:t>
    </w:r>
  </w:p>
  <w:p w14:paraId="0E87E04D" w14:textId="077DED20" w:rsidR="001C1E4E" w:rsidRPr="00A15045" w:rsidRDefault="001C1E4E" w:rsidP="00863D6E">
    <w:pPr>
      <w:spacing w:after="0" w:line="32" w:lineRule="exact"/>
      <w:ind w:right="360"/>
      <w:rPr>
        <w:rFonts w:ascii="Avenir Book" w:hAnsi="Avenir Book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05166" w14:textId="77777777" w:rsidR="00067130" w:rsidRDefault="000671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32116" w14:textId="77777777" w:rsidR="00BB3DBA" w:rsidRDefault="00BB3DBA">
      <w:pPr>
        <w:spacing w:after="0" w:line="240" w:lineRule="auto"/>
      </w:pPr>
      <w:r>
        <w:separator/>
      </w:r>
    </w:p>
  </w:footnote>
  <w:footnote w:type="continuationSeparator" w:id="0">
    <w:p w14:paraId="3180B498" w14:textId="77777777" w:rsidR="00BB3DBA" w:rsidRDefault="00BB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CE1F" w14:textId="77777777" w:rsidR="00067130" w:rsidRDefault="000671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98100" w14:textId="77777777" w:rsidR="00E22272" w:rsidRDefault="00E22272" w:rsidP="00E22272">
    <w:pPr>
      <w:spacing w:after="0" w:line="322" w:lineRule="exact"/>
      <w:rPr>
        <w:rFonts w:ascii="Avenir Book" w:eastAsia="Times New Roman" w:hAnsi="Avenir Book" w:cs="Times New Roman"/>
        <w:sz w:val="28"/>
        <w:szCs w:val="28"/>
      </w:rPr>
    </w:pPr>
  </w:p>
  <w:p w14:paraId="57AFB439" w14:textId="07E6D44A" w:rsidR="00E22272" w:rsidRPr="00E22272" w:rsidRDefault="00E22272" w:rsidP="00E22272">
    <w:pPr>
      <w:spacing w:after="0" w:line="322" w:lineRule="exact"/>
      <w:jc w:val="center"/>
      <w:rPr>
        <w:rFonts w:ascii="Avenir Book" w:eastAsia="Times New Roman" w:hAnsi="Avenir Book" w:cs="Times New Roman"/>
        <w:b/>
        <w:sz w:val="28"/>
        <w:szCs w:val="28"/>
        <w:u w:val="single"/>
      </w:rPr>
    </w:pPr>
    <w:bookmarkStart w:id="0" w:name="_GoBack"/>
    <w:r w:rsidRPr="00E22272">
      <w:rPr>
        <w:rFonts w:ascii="Avenir Book" w:eastAsia="Times New Roman" w:hAnsi="Avenir Book" w:cs="Times New Roman"/>
        <w:b/>
        <w:sz w:val="28"/>
        <w:szCs w:val="28"/>
        <w:u w:val="single"/>
      </w:rPr>
      <w:t>Community Health Center Guidelines on</w:t>
    </w:r>
  </w:p>
  <w:p w14:paraId="0AA1D3DD" w14:textId="11297372" w:rsidR="00E22272" w:rsidRPr="00E22272" w:rsidRDefault="00E22272" w:rsidP="00E22272">
    <w:pPr>
      <w:spacing w:after="0" w:line="322" w:lineRule="exact"/>
      <w:jc w:val="center"/>
      <w:rPr>
        <w:rFonts w:ascii="Avenir Book" w:eastAsia="Times New Roman" w:hAnsi="Avenir Book" w:cs="Times New Roman"/>
        <w:b/>
        <w:sz w:val="28"/>
        <w:szCs w:val="28"/>
        <w:u w:val="single"/>
      </w:rPr>
    </w:pPr>
    <w:r w:rsidRPr="00E22272">
      <w:rPr>
        <w:rFonts w:ascii="Avenir Book" w:eastAsia="Times New Roman" w:hAnsi="Avenir Book" w:cs="Times New Roman"/>
        <w:b/>
        <w:sz w:val="28"/>
        <w:szCs w:val="28"/>
        <w:u w:val="single"/>
      </w:rPr>
      <w:t xml:space="preserve">Record Keeping for </w:t>
    </w:r>
    <w:r w:rsidR="00B56A66">
      <w:rPr>
        <w:rFonts w:ascii="Avenir Book" w:eastAsia="Times New Roman" w:hAnsi="Avenir Book" w:cs="Times New Roman"/>
        <w:b/>
        <w:sz w:val="28"/>
        <w:szCs w:val="28"/>
        <w:u w:val="single"/>
      </w:rPr>
      <w:t xml:space="preserve">Abortion Services in the </w:t>
    </w:r>
    <w:r w:rsidRPr="00E22272">
      <w:rPr>
        <w:rFonts w:ascii="Avenir Book" w:eastAsia="Times New Roman" w:hAnsi="Avenir Book" w:cs="Times New Roman"/>
        <w:b/>
        <w:sz w:val="28"/>
        <w:szCs w:val="28"/>
        <w:u w:val="single"/>
      </w:rPr>
      <w:t>Other Lines of Business in the General Ledger</w:t>
    </w:r>
  </w:p>
  <w:bookmarkEnd w:id="0"/>
  <w:p w14:paraId="28E1F63B" w14:textId="77777777" w:rsidR="00E22272" w:rsidRDefault="00E222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39918" w14:textId="77777777" w:rsidR="00067130" w:rsidRDefault="000671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D65F1"/>
    <w:multiLevelType w:val="hybridMultilevel"/>
    <w:tmpl w:val="5210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14EF3"/>
    <w:multiLevelType w:val="hybridMultilevel"/>
    <w:tmpl w:val="2C16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4CDD"/>
    <w:multiLevelType w:val="hybridMultilevel"/>
    <w:tmpl w:val="41BE82F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21B4241A"/>
    <w:multiLevelType w:val="hybridMultilevel"/>
    <w:tmpl w:val="62DAC698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2FAA5796"/>
    <w:multiLevelType w:val="hybridMultilevel"/>
    <w:tmpl w:val="9B5A3D82"/>
    <w:lvl w:ilvl="0" w:tplc="0409000F">
      <w:start w:val="1"/>
      <w:numFmt w:val="decimal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>
    <w:nsid w:val="322A32F1"/>
    <w:multiLevelType w:val="hybridMultilevel"/>
    <w:tmpl w:val="E55A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27DEE"/>
    <w:multiLevelType w:val="hybridMultilevel"/>
    <w:tmpl w:val="E9B8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53FF5"/>
    <w:multiLevelType w:val="hybridMultilevel"/>
    <w:tmpl w:val="CD943C2E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8">
    <w:nsid w:val="46F73854"/>
    <w:multiLevelType w:val="hybridMultilevel"/>
    <w:tmpl w:val="170C8F0C"/>
    <w:lvl w:ilvl="0" w:tplc="0409000F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>
    <w:nsid w:val="495F7690"/>
    <w:multiLevelType w:val="hybridMultilevel"/>
    <w:tmpl w:val="AA5E7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C91ACC"/>
    <w:multiLevelType w:val="hybridMultilevel"/>
    <w:tmpl w:val="984C2FB2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>
    <w:nsid w:val="6A3F3114"/>
    <w:multiLevelType w:val="hybridMultilevel"/>
    <w:tmpl w:val="249E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32525"/>
    <w:multiLevelType w:val="hybridMultilevel"/>
    <w:tmpl w:val="7E2A7E54"/>
    <w:lvl w:ilvl="0" w:tplc="BD3E8BF4">
      <w:numFmt w:val="bullet"/>
      <w:lvlText w:val="•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B8"/>
    <w:rsid w:val="00042BA4"/>
    <w:rsid w:val="0005252D"/>
    <w:rsid w:val="00067130"/>
    <w:rsid w:val="00067D01"/>
    <w:rsid w:val="0007215E"/>
    <w:rsid w:val="00084329"/>
    <w:rsid w:val="000866D9"/>
    <w:rsid w:val="000D5729"/>
    <w:rsid w:val="000D6D21"/>
    <w:rsid w:val="000F3713"/>
    <w:rsid w:val="001368E6"/>
    <w:rsid w:val="001B4038"/>
    <w:rsid w:val="001B7616"/>
    <w:rsid w:val="001C1E4E"/>
    <w:rsid w:val="00234D6B"/>
    <w:rsid w:val="00237AAE"/>
    <w:rsid w:val="00263A9A"/>
    <w:rsid w:val="00287768"/>
    <w:rsid w:val="002C2485"/>
    <w:rsid w:val="00312BAD"/>
    <w:rsid w:val="00312C6E"/>
    <w:rsid w:val="00324D25"/>
    <w:rsid w:val="00334D35"/>
    <w:rsid w:val="00345D4D"/>
    <w:rsid w:val="00364171"/>
    <w:rsid w:val="003732FD"/>
    <w:rsid w:val="003903D3"/>
    <w:rsid w:val="003B0A88"/>
    <w:rsid w:val="003E62B6"/>
    <w:rsid w:val="004323EB"/>
    <w:rsid w:val="00471947"/>
    <w:rsid w:val="004A7069"/>
    <w:rsid w:val="004F699C"/>
    <w:rsid w:val="00504430"/>
    <w:rsid w:val="005A0A39"/>
    <w:rsid w:val="005A1D6C"/>
    <w:rsid w:val="005D02D5"/>
    <w:rsid w:val="00621DBC"/>
    <w:rsid w:val="00674589"/>
    <w:rsid w:val="006928D5"/>
    <w:rsid w:val="006A7E7D"/>
    <w:rsid w:val="00706615"/>
    <w:rsid w:val="007433A1"/>
    <w:rsid w:val="00790A03"/>
    <w:rsid w:val="007B5C19"/>
    <w:rsid w:val="008130B0"/>
    <w:rsid w:val="008374D4"/>
    <w:rsid w:val="00856278"/>
    <w:rsid w:val="008630F4"/>
    <w:rsid w:val="00863D6E"/>
    <w:rsid w:val="00864009"/>
    <w:rsid w:val="00885DB7"/>
    <w:rsid w:val="0088608A"/>
    <w:rsid w:val="008D30CA"/>
    <w:rsid w:val="008D7CCA"/>
    <w:rsid w:val="008F00C2"/>
    <w:rsid w:val="00910F8F"/>
    <w:rsid w:val="009A028C"/>
    <w:rsid w:val="009F1BE8"/>
    <w:rsid w:val="009F546D"/>
    <w:rsid w:val="00A04593"/>
    <w:rsid w:val="00A12766"/>
    <w:rsid w:val="00A15045"/>
    <w:rsid w:val="00A266F6"/>
    <w:rsid w:val="00A27526"/>
    <w:rsid w:val="00A32E73"/>
    <w:rsid w:val="00A37799"/>
    <w:rsid w:val="00A55385"/>
    <w:rsid w:val="00A5780C"/>
    <w:rsid w:val="00AB2BD6"/>
    <w:rsid w:val="00AC4370"/>
    <w:rsid w:val="00AC44BE"/>
    <w:rsid w:val="00AC4693"/>
    <w:rsid w:val="00AC5617"/>
    <w:rsid w:val="00AE6536"/>
    <w:rsid w:val="00B12716"/>
    <w:rsid w:val="00B21EBE"/>
    <w:rsid w:val="00B56A66"/>
    <w:rsid w:val="00B70D45"/>
    <w:rsid w:val="00B81C0D"/>
    <w:rsid w:val="00B9334E"/>
    <w:rsid w:val="00BB3D3B"/>
    <w:rsid w:val="00BB3DBA"/>
    <w:rsid w:val="00C044B0"/>
    <w:rsid w:val="00C477D0"/>
    <w:rsid w:val="00CD5EE5"/>
    <w:rsid w:val="00CE5353"/>
    <w:rsid w:val="00CF0F1C"/>
    <w:rsid w:val="00CF20B2"/>
    <w:rsid w:val="00D12F71"/>
    <w:rsid w:val="00D136CC"/>
    <w:rsid w:val="00D340AD"/>
    <w:rsid w:val="00D54D75"/>
    <w:rsid w:val="00D642AC"/>
    <w:rsid w:val="00D647FC"/>
    <w:rsid w:val="00D96FC9"/>
    <w:rsid w:val="00DA0D41"/>
    <w:rsid w:val="00DE4C5E"/>
    <w:rsid w:val="00E1077F"/>
    <w:rsid w:val="00E22272"/>
    <w:rsid w:val="00E40297"/>
    <w:rsid w:val="00E45080"/>
    <w:rsid w:val="00E53D70"/>
    <w:rsid w:val="00E70773"/>
    <w:rsid w:val="00E87746"/>
    <w:rsid w:val="00E95E8F"/>
    <w:rsid w:val="00E97B75"/>
    <w:rsid w:val="00EB746F"/>
    <w:rsid w:val="00ED28EF"/>
    <w:rsid w:val="00F25E9A"/>
    <w:rsid w:val="00F550F8"/>
    <w:rsid w:val="00F665D4"/>
    <w:rsid w:val="00F75BDB"/>
    <w:rsid w:val="00F8765B"/>
    <w:rsid w:val="00F941B8"/>
    <w:rsid w:val="00FB1FBC"/>
    <w:rsid w:val="00FC21FC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FCDE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1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D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30CA"/>
    <w:pPr>
      <w:ind w:left="720"/>
      <w:contextualSpacing/>
    </w:pPr>
  </w:style>
  <w:style w:type="table" w:styleId="TableGrid">
    <w:name w:val="Table Grid"/>
    <w:basedOn w:val="TableNormal"/>
    <w:uiPriority w:val="1"/>
    <w:rsid w:val="00A1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3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6E"/>
  </w:style>
  <w:style w:type="character" w:styleId="PageNumber">
    <w:name w:val="page number"/>
    <w:basedOn w:val="DefaultParagraphFont"/>
    <w:uiPriority w:val="99"/>
    <w:semiHidden/>
    <w:unhideWhenUsed/>
    <w:rsid w:val="00863D6E"/>
  </w:style>
  <w:style w:type="paragraph" w:styleId="Header">
    <w:name w:val="header"/>
    <w:basedOn w:val="Normal"/>
    <w:link w:val="HeaderChar"/>
    <w:uiPriority w:val="99"/>
    <w:unhideWhenUsed/>
    <w:rsid w:val="00910F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8F"/>
  </w:style>
  <w:style w:type="character" w:styleId="Hyperlink">
    <w:name w:val="Hyperlink"/>
    <w:basedOn w:val="DefaultParagraphFont"/>
    <w:uiPriority w:val="99"/>
    <w:unhideWhenUsed/>
    <w:rsid w:val="00B56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phc.hrsa.gov/programrequirements/pdf/pin201301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410D-519D-404F-91E7-37359605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849</Words>
  <Characters>4843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Company Standard</dc:creator>
  <cp:lastModifiedBy>Lisa Maldonado</cp:lastModifiedBy>
  <cp:revision>2</cp:revision>
  <cp:lastPrinted>2016-06-08T19:52:00Z</cp:lastPrinted>
  <dcterms:created xsi:type="dcterms:W3CDTF">2017-03-06T22:01:00Z</dcterms:created>
  <dcterms:modified xsi:type="dcterms:W3CDTF">2017-03-06T22:01:00Z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2008-02-02T00:00:00Z</vt:filetime>
  </property>
  <property fmtid="{D5CDD505-2E9C-101B-9397-08002B2CF9AE}" pid="3" name="LastSaved">
    <vt:filetime>2012-11-11T00:00:00Z</vt:filetime>
  </property>
</Properties>
</file>