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6F01EE7D" w14:textId="77777777" w:rsidR="00421F72" w:rsidRDefault="00272499" w:rsidP="00272499">
      <w:pPr>
        <w:spacing w:after="0"/>
        <w:rPr>
          <w:b/>
          <w:sz w:val="24"/>
          <w:szCs w:val="24"/>
        </w:rPr>
      </w:pPr>
      <w:r>
        <w:rPr>
          <w:b/>
          <w:sz w:val="24"/>
          <w:szCs w:val="24"/>
        </w:rPr>
        <w:t xml:space="preserve">Title: </w:t>
      </w:r>
      <w:r w:rsidR="005342FC" w:rsidRPr="00272499">
        <w:rPr>
          <w:sz w:val="24"/>
          <w:szCs w:val="24"/>
        </w:rPr>
        <w:t>Resolution to Oppose Transphobic Legislation Regarding the Use of Public Facilities</w:t>
      </w:r>
    </w:p>
    <w:p w14:paraId="3827215B" w14:textId="77777777" w:rsidR="00272499" w:rsidRDefault="00272499" w:rsidP="00272499">
      <w:pPr>
        <w:spacing w:after="0"/>
        <w:rPr>
          <w:b/>
          <w:sz w:val="24"/>
          <w:szCs w:val="24"/>
        </w:rPr>
      </w:pPr>
      <w:r>
        <w:rPr>
          <w:b/>
          <w:sz w:val="24"/>
          <w:szCs w:val="24"/>
        </w:rPr>
        <w:t xml:space="preserve">Authors: </w:t>
      </w:r>
      <w:r w:rsidRPr="00272499">
        <w:rPr>
          <w:sz w:val="24"/>
          <w:szCs w:val="24"/>
        </w:rPr>
        <w:t>Lauren Casey (RHEDI), Ying Zhang, Grace Shih, Deborah Oyer, Kevin Wang</w:t>
      </w:r>
    </w:p>
    <w:p w14:paraId="503761EB" w14:textId="77777777" w:rsidR="00272499" w:rsidRDefault="00272499" w:rsidP="00272499">
      <w:pPr>
        <w:spacing w:after="0"/>
        <w:rPr>
          <w:b/>
          <w:sz w:val="24"/>
          <w:szCs w:val="24"/>
        </w:rPr>
      </w:pPr>
      <w:r>
        <w:rPr>
          <w:b/>
          <w:sz w:val="24"/>
          <w:szCs w:val="24"/>
        </w:rPr>
        <w:t>Submitted By:</w:t>
      </w:r>
    </w:p>
    <w:p w14:paraId="77B4679C" w14:textId="77777777" w:rsidR="00272499" w:rsidRDefault="00272499" w:rsidP="00272499">
      <w:pPr>
        <w:spacing w:after="0"/>
      </w:pPr>
    </w:p>
    <w:p w14:paraId="5EF7B372" w14:textId="77777777" w:rsidR="00421F72" w:rsidRDefault="005342FC">
      <w:r>
        <w:rPr>
          <w:sz w:val="24"/>
          <w:szCs w:val="24"/>
        </w:rPr>
        <w:t>WHEREAS transgender people experience worse health, compared with cisgender people due to avoidance of care</w:t>
      </w:r>
      <w:r>
        <w:rPr>
          <w:sz w:val="24"/>
          <w:szCs w:val="24"/>
          <w:vertAlign w:val="superscript"/>
        </w:rPr>
        <w:footnoteReference w:id="1"/>
      </w:r>
      <w:r>
        <w:rPr>
          <w:sz w:val="24"/>
          <w:szCs w:val="24"/>
        </w:rPr>
        <w:t>, stress from discrimination and alienation</w:t>
      </w:r>
      <w:r>
        <w:rPr>
          <w:sz w:val="24"/>
          <w:szCs w:val="24"/>
          <w:vertAlign w:val="superscript"/>
        </w:rPr>
        <w:footnoteReference w:id="2"/>
      </w:r>
      <w:r>
        <w:rPr>
          <w:sz w:val="24"/>
          <w:szCs w:val="24"/>
        </w:rPr>
        <w:t>, and higher rates of sexual and physical violence</w:t>
      </w:r>
      <w:r>
        <w:rPr>
          <w:sz w:val="24"/>
          <w:szCs w:val="24"/>
          <w:vertAlign w:val="superscript"/>
        </w:rPr>
        <w:footnoteReference w:id="3"/>
      </w:r>
      <w:r>
        <w:rPr>
          <w:sz w:val="24"/>
          <w:szCs w:val="24"/>
        </w:rPr>
        <w:t>, and</w:t>
      </w:r>
    </w:p>
    <w:p w14:paraId="5FAC0C48" w14:textId="77777777" w:rsidR="00421F72" w:rsidRDefault="005342FC">
      <w:r>
        <w:rPr>
          <w:sz w:val="24"/>
          <w:szCs w:val="24"/>
        </w:rPr>
        <w:t>WHEREAS “gender dysphoria intensifies over time and, when inadequately treated, can lead to clinically significant psychological distress, dysfunction, debilitating depression, self-surgery, and suicidality,”</w:t>
      </w:r>
      <w:r>
        <w:rPr>
          <w:sz w:val="24"/>
          <w:szCs w:val="24"/>
          <w:vertAlign w:val="superscript"/>
        </w:rPr>
        <w:footnoteReference w:id="4"/>
      </w:r>
      <w:r>
        <w:rPr>
          <w:sz w:val="24"/>
          <w:szCs w:val="24"/>
        </w:rPr>
        <w:t xml:space="preserve"> and</w:t>
      </w:r>
    </w:p>
    <w:p w14:paraId="66600743" w14:textId="77777777" w:rsidR="00421F72" w:rsidRDefault="005342FC">
      <w:pPr>
        <w:spacing w:after="0" w:line="240" w:lineRule="auto"/>
      </w:pPr>
      <w:r>
        <w:rPr>
          <w:sz w:val="24"/>
          <w:szCs w:val="24"/>
        </w:rPr>
        <w:t>WHEREAS in order to complete the appropriate course of care for gender dysphoria</w:t>
      </w:r>
      <w:r>
        <w:rPr>
          <w:sz w:val="24"/>
          <w:szCs w:val="24"/>
          <w:vertAlign w:val="superscript"/>
        </w:rPr>
        <w:footnoteReference w:id="5"/>
      </w:r>
      <w:r>
        <w:rPr>
          <w:sz w:val="24"/>
          <w:szCs w:val="24"/>
        </w:rPr>
        <w:t>,</w:t>
      </w:r>
      <w:r>
        <w:rPr>
          <w:sz w:val="24"/>
          <w:szCs w:val="24"/>
          <w:vertAlign w:val="superscript"/>
        </w:rPr>
        <w:footnoteReference w:id="6"/>
      </w:r>
      <w:r>
        <w:rPr>
          <w:sz w:val="24"/>
          <w:szCs w:val="24"/>
        </w:rPr>
        <w:t xml:space="preserve"> and meet the eligibility criteria to receive hormonal and/or surgical care,</w:t>
      </w:r>
      <w:r>
        <w:rPr>
          <w:sz w:val="24"/>
          <w:szCs w:val="24"/>
          <w:vertAlign w:val="superscript"/>
        </w:rPr>
        <w:footnoteReference w:id="7"/>
      </w:r>
      <w:r>
        <w:rPr>
          <w:sz w:val="24"/>
          <w:szCs w:val="24"/>
        </w:rPr>
        <w:t xml:space="preserve">, </w:t>
      </w:r>
      <w:r>
        <w:rPr>
          <w:sz w:val="24"/>
          <w:szCs w:val="24"/>
          <w:vertAlign w:val="superscript"/>
        </w:rPr>
        <w:footnoteReference w:id="8"/>
      </w:r>
      <w:r>
        <w:rPr>
          <w:sz w:val="24"/>
          <w:szCs w:val="24"/>
        </w:rPr>
        <w:t xml:space="preserve"> transgender women must live fully as females and transgender men must live fully as males in society, and </w:t>
      </w:r>
    </w:p>
    <w:p w14:paraId="0D037EC4" w14:textId="77777777" w:rsidR="00421F72" w:rsidRDefault="00421F72">
      <w:pPr>
        <w:spacing w:after="0" w:line="240" w:lineRule="auto"/>
      </w:pPr>
    </w:p>
    <w:p w14:paraId="5A22EE7B" w14:textId="77777777" w:rsidR="00421F72" w:rsidRDefault="005342FC">
      <w:r>
        <w:rPr>
          <w:sz w:val="24"/>
          <w:szCs w:val="24"/>
        </w:rPr>
        <w:t>WHEREAS nine bills have been introduced in various states across the U.S. in January 2016 dictating the use of public facilities, suc</w:t>
      </w:r>
      <w:r w:rsidR="00272499">
        <w:rPr>
          <w:sz w:val="24"/>
          <w:szCs w:val="24"/>
        </w:rPr>
        <w:t>h as restrooms and locker rooms;</w:t>
      </w:r>
      <w:r>
        <w:rPr>
          <w:sz w:val="24"/>
          <w:szCs w:val="24"/>
        </w:rPr>
        <w:t xml:space="preserve"> </w:t>
      </w:r>
      <w:r w:rsidR="00272499">
        <w:rPr>
          <w:sz w:val="24"/>
          <w:szCs w:val="24"/>
        </w:rPr>
        <w:t>and these bills require</w:t>
      </w:r>
      <w:r>
        <w:rPr>
          <w:sz w:val="24"/>
          <w:szCs w:val="24"/>
        </w:rPr>
        <w:t xml:space="preserve"> people to use </w:t>
      </w:r>
      <w:r w:rsidR="00272499">
        <w:rPr>
          <w:sz w:val="24"/>
          <w:szCs w:val="24"/>
        </w:rPr>
        <w:t>public facilities</w:t>
      </w:r>
      <w:r>
        <w:rPr>
          <w:sz w:val="24"/>
          <w:szCs w:val="24"/>
        </w:rPr>
        <w:t xml:space="preserve"> that correspond with their biological sex identified at birth and/or chromosomes, instead of their gender identity</w:t>
      </w:r>
      <w:r>
        <w:rPr>
          <w:sz w:val="24"/>
          <w:szCs w:val="24"/>
          <w:vertAlign w:val="superscript"/>
        </w:rPr>
        <w:footnoteReference w:id="9"/>
      </w:r>
      <w:r>
        <w:rPr>
          <w:sz w:val="24"/>
          <w:szCs w:val="24"/>
        </w:rPr>
        <w:t>,and</w:t>
      </w:r>
    </w:p>
    <w:p w14:paraId="0923D741" w14:textId="77777777" w:rsidR="00421F72" w:rsidRDefault="005342FC">
      <w:r>
        <w:rPr>
          <w:sz w:val="24"/>
          <w:szCs w:val="24"/>
        </w:rPr>
        <w:t>WHEREAS “all people share the real human need for safe restroom facilities when we go to work, go to school, and participate in public life,”</w:t>
      </w:r>
      <w:r>
        <w:rPr>
          <w:sz w:val="24"/>
          <w:szCs w:val="24"/>
          <w:vertAlign w:val="superscript"/>
        </w:rPr>
        <w:footnoteReference w:id="10"/>
      </w:r>
    </w:p>
    <w:p w14:paraId="3F0581AD" w14:textId="77777777" w:rsidR="00421F72" w:rsidRDefault="005342FC">
      <w:r>
        <w:rPr>
          <w:sz w:val="24"/>
          <w:szCs w:val="24"/>
        </w:rPr>
        <w:t>WHEREAS being required to use a public facility that does not correspond with gender identity is a health issue that negatively affects transgender people, increasing the risk of sexual, verbal, and physical harassment and violence, and</w:t>
      </w:r>
    </w:p>
    <w:p w14:paraId="514C9201" w14:textId="77777777" w:rsidR="00421F72" w:rsidRDefault="005342FC">
      <w:r>
        <w:rPr>
          <w:sz w:val="24"/>
          <w:szCs w:val="24"/>
        </w:rPr>
        <w:lastRenderedPageBreak/>
        <w:t>WHEREAS inability to access restroom facilities and avoidance of restroom use  is a health issue and has been shown to lead to problems including dehydration, kidney infections and urinary tract infections</w:t>
      </w:r>
      <w:r>
        <w:rPr>
          <w:sz w:val="24"/>
          <w:szCs w:val="24"/>
          <w:vertAlign w:val="superscript"/>
        </w:rPr>
        <w:footnoteReference w:id="11"/>
      </w:r>
      <w:r>
        <w:rPr>
          <w:sz w:val="24"/>
          <w:szCs w:val="24"/>
        </w:rPr>
        <w:t>, and</w:t>
      </w:r>
    </w:p>
    <w:p w14:paraId="018A0722" w14:textId="77777777" w:rsidR="00421F72" w:rsidRDefault="005342FC">
      <w:r>
        <w:rPr>
          <w:sz w:val="24"/>
          <w:szCs w:val="24"/>
        </w:rPr>
        <w:t xml:space="preserve">WHEREAS </w:t>
      </w:r>
      <w:r w:rsidR="006A797F">
        <w:rPr>
          <w:sz w:val="24"/>
          <w:szCs w:val="24"/>
        </w:rPr>
        <w:t>restroom restriction</w:t>
      </w:r>
      <w:r>
        <w:rPr>
          <w:sz w:val="24"/>
          <w:szCs w:val="24"/>
        </w:rPr>
        <w:t xml:space="preserve"> legislation effectively makes it illegal for transgender people to live as the gender with which they identify, which as explicated above, has significant health implications and furthermore sends the message to transgender people that they are unwanted, unprotected, and </w:t>
      </w:r>
      <w:r w:rsidR="006A797F">
        <w:rPr>
          <w:sz w:val="24"/>
          <w:szCs w:val="24"/>
        </w:rPr>
        <w:t>to be feared</w:t>
      </w:r>
      <w:r>
        <w:rPr>
          <w:sz w:val="24"/>
          <w:szCs w:val="24"/>
        </w:rPr>
        <w:t>, and</w:t>
      </w:r>
    </w:p>
    <w:p w14:paraId="274063DE" w14:textId="77777777" w:rsidR="00421F72" w:rsidRDefault="005342FC">
      <w:pPr>
        <w:rPr>
          <w:sz w:val="24"/>
          <w:szCs w:val="24"/>
        </w:rPr>
      </w:pPr>
      <w:r>
        <w:rPr>
          <w:sz w:val="24"/>
          <w:szCs w:val="24"/>
        </w:rPr>
        <w:t xml:space="preserve">WHEREAS the American Academy of Family Physician (AAFP) already has policy opposing “all discrimination in any form, including but not limited to, that on the basis of actual or perceived race, </w:t>
      </w:r>
      <w:bookmarkStart w:id="0" w:name="_GoBack"/>
      <w:bookmarkEnd w:id="0"/>
      <w:r>
        <w:rPr>
          <w:sz w:val="24"/>
          <w:szCs w:val="24"/>
        </w:rPr>
        <w:t>color, religion, gender, sexual orientation, gender identity, ethnic affiliation, health, age, disability, economic status, body habitus, or national origin”</w:t>
      </w:r>
      <w:r>
        <w:rPr>
          <w:sz w:val="24"/>
          <w:szCs w:val="24"/>
          <w:vertAlign w:val="superscript"/>
        </w:rPr>
        <w:footnoteReference w:id="12"/>
      </w:r>
      <w:r>
        <w:rPr>
          <w:sz w:val="24"/>
          <w:szCs w:val="24"/>
        </w:rPr>
        <w:t xml:space="preserve">, but </w:t>
      </w:r>
      <w:r w:rsidR="006A797F">
        <w:rPr>
          <w:sz w:val="24"/>
          <w:szCs w:val="24"/>
        </w:rPr>
        <w:t>is not explicit on this public restroom issue</w:t>
      </w:r>
      <w:r w:rsidR="00272499">
        <w:rPr>
          <w:sz w:val="24"/>
          <w:szCs w:val="24"/>
        </w:rPr>
        <w:t xml:space="preserve">, therefore, be it </w:t>
      </w:r>
    </w:p>
    <w:p w14:paraId="6C43FE2F" w14:textId="77777777" w:rsidR="00272499" w:rsidRDefault="00272499">
      <w:pPr>
        <w:rPr>
          <w:sz w:val="24"/>
          <w:szCs w:val="24"/>
        </w:rPr>
      </w:pPr>
      <w:r>
        <w:rPr>
          <w:sz w:val="24"/>
          <w:szCs w:val="24"/>
        </w:rPr>
        <w:t>RESOLVED, that</w:t>
      </w:r>
      <w:r w:rsidRPr="00272499">
        <w:rPr>
          <w:sz w:val="24"/>
          <w:szCs w:val="24"/>
        </w:rPr>
        <w:t xml:space="preserve"> </w:t>
      </w:r>
      <w:r w:rsidR="00150FEC">
        <w:rPr>
          <w:sz w:val="24"/>
          <w:szCs w:val="24"/>
        </w:rPr>
        <w:t>New York State Academy</w:t>
      </w:r>
      <w:r w:rsidR="00A10A26">
        <w:rPr>
          <w:sz w:val="24"/>
          <w:szCs w:val="24"/>
        </w:rPr>
        <w:t xml:space="preserve"> of Family Physicians (</w:t>
      </w:r>
      <w:r w:rsidR="00150FEC">
        <w:rPr>
          <w:sz w:val="24"/>
          <w:szCs w:val="24"/>
        </w:rPr>
        <w:t>NYS</w:t>
      </w:r>
      <w:r>
        <w:rPr>
          <w:sz w:val="24"/>
          <w:szCs w:val="24"/>
        </w:rPr>
        <w:t>AFP</w:t>
      </w:r>
      <w:r w:rsidR="00A10A26">
        <w:rPr>
          <w:sz w:val="24"/>
          <w:szCs w:val="24"/>
        </w:rPr>
        <w:t>)</w:t>
      </w:r>
      <w:r>
        <w:rPr>
          <w:sz w:val="24"/>
          <w:szCs w:val="24"/>
        </w:rPr>
        <w:t xml:space="preserve"> </w:t>
      </w:r>
      <w:r w:rsidR="00A10A26">
        <w:rPr>
          <w:sz w:val="24"/>
          <w:szCs w:val="24"/>
        </w:rPr>
        <w:t xml:space="preserve">endorse existing anti-discrimination laws protecting people from discrimination based on gender expression and identity AND </w:t>
      </w:r>
      <w:r>
        <w:rPr>
          <w:sz w:val="24"/>
          <w:szCs w:val="24"/>
        </w:rPr>
        <w:t xml:space="preserve">oppose </w:t>
      </w:r>
      <w:r w:rsidR="006A797F">
        <w:rPr>
          <w:sz w:val="24"/>
          <w:szCs w:val="24"/>
        </w:rPr>
        <w:t xml:space="preserve">restroom restrictive </w:t>
      </w:r>
      <w:r>
        <w:rPr>
          <w:sz w:val="24"/>
          <w:szCs w:val="24"/>
        </w:rPr>
        <w:t>laws that compromise the safety and health of transgender people</w:t>
      </w:r>
      <w:r w:rsidR="00A10A26">
        <w:rPr>
          <w:sz w:val="24"/>
          <w:szCs w:val="24"/>
        </w:rPr>
        <w:t>,</w:t>
      </w:r>
      <w:r>
        <w:rPr>
          <w:sz w:val="24"/>
          <w:szCs w:val="24"/>
        </w:rPr>
        <w:t xml:space="preserve"> and be it</w:t>
      </w:r>
    </w:p>
    <w:p w14:paraId="077B41CF" w14:textId="77777777" w:rsidR="00272499" w:rsidRDefault="00272499" w:rsidP="00272499">
      <w:pPr>
        <w:rPr>
          <w:sz w:val="24"/>
          <w:szCs w:val="24"/>
        </w:rPr>
      </w:pPr>
      <w:r>
        <w:rPr>
          <w:sz w:val="24"/>
          <w:szCs w:val="24"/>
        </w:rPr>
        <w:t xml:space="preserve">RESOLVED, that the </w:t>
      </w:r>
      <w:r w:rsidR="006A797F">
        <w:rPr>
          <w:sz w:val="24"/>
          <w:szCs w:val="24"/>
        </w:rPr>
        <w:t>NYS</w:t>
      </w:r>
      <w:r>
        <w:rPr>
          <w:sz w:val="24"/>
          <w:szCs w:val="24"/>
        </w:rPr>
        <w:t xml:space="preserve">AFP supports </w:t>
      </w:r>
      <w:r w:rsidR="00150FEC">
        <w:rPr>
          <w:sz w:val="24"/>
          <w:szCs w:val="24"/>
        </w:rPr>
        <w:t>adding gender expression and gender identity to the protected categories within New York State’s anti-discrimination laws through the Gender Expression Non-Discrimination Act (GENDA)</w:t>
      </w:r>
      <w:r w:rsidR="00150FEC">
        <w:rPr>
          <w:rStyle w:val="FootnoteReference"/>
          <w:sz w:val="24"/>
          <w:szCs w:val="24"/>
        </w:rPr>
        <w:footnoteReference w:id="13"/>
      </w:r>
      <w:r w:rsidR="00A10A26">
        <w:rPr>
          <w:sz w:val="24"/>
          <w:szCs w:val="24"/>
        </w:rPr>
        <w:t>and be it</w:t>
      </w:r>
      <w:r w:rsidR="00150FEC">
        <w:rPr>
          <w:sz w:val="24"/>
          <w:szCs w:val="24"/>
        </w:rPr>
        <w:t xml:space="preserve"> further,</w:t>
      </w:r>
    </w:p>
    <w:p w14:paraId="1E984D49" w14:textId="77777777" w:rsidR="00A10A26" w:rsidRDefault="00A10A26" w:rsidP="00A10A26">
      <w:pPr>
        <w:rPr>
          <w:sz w:val="24"/>
          <w:szCs w:val="24"/>
        </w:rPr>
      </w:pPr>
      <w:r>
        <w:rPr>
          <w:sz w:val="24"/>
          <w:szCs w:val="24"/>
        </w:rPr>
        <w:t xml:space="preserve">RESOLVED, that the </w:t>
      </w:r>
      <w:r w:rsidR="00150FEC">
        <w:rPr>
          <w:sz w:val="24"/>
          <w:szCs w:val="24"/>
        </w:rPr>
        <w:t>NYS</w:t>
      </w:r>
      <w:r>
        <w:rPr>
          <w:sz w:val="24"/>
          <w:szCs w:val="24"/>
        </w:rPr>
        <w:t>AFP take a resolution to the AAFP Congress of Delegates (COD) asking the AAFP to oppose laws that compromise the safety and health of transgender people.</w:t>
      </w:r>
    </w:p>
    <w:p w14:paraId="53D9AE01" w14:textId="77777777" w:rsidR="00A10A26" w:rsidRPr="00272499" w:rsidRDefault="00A10A26" w:rsidP="00272499">
      <w:pPr>
        <w:rPr>
          <w:sz w:val="24"/>
          <w:szCs w:val="24"/>
        </w:rPr>
      </w:pPr>
    </w:p>
    <w:p w14:paraId="60F536F3" w14:textId="77777777" w:rsidR="00272499" w:rsidRPr="00272499" w:rsidRDefault="00272499">
      <w:pPr>
        <w:rPr>
          <w:sz w:val="24"/>
          <w:szCs w:val="24"/>
        </w:rPr>
      </w:pPr>
    </w:p>
    <w:sectPr w:rsidR="00272499" w:rsidRPr="00272499">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83F036" w14:textId="77777777" w:rsidR="005342FC" w:rsidRDefault="005342FC">
      <w:pPr>
        <w:spacing w:after="0" w:line="240" w:lineRule="auto"/>
      </w:pPr>
      <w:r>
        <w:separator/>
      </w:r>
    </w:p>
  </w:endnote>
  <w:endnote w:type="continuationSeparator" w:id="0">
    <w:p w14:paraId="56646CE7" w14:textId="77777777" w:rsidR="005342FC" w:rsidRDefault="005342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00"/>
    <w:family w:val="auto"/>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DAA8D3" w14:textId="77777777" w:rsidR="00421F72" w:rsidRDefault="00421F72">
    <w:pPr>
      <w:tabs>
        <w:tab w:val="center" w:pos="4680"/>
        <w:tab w:val="right" w:pos="9360"/>
      </w:tabs>
      <w:spacing w:after="720" w:line="240" w:lineRule="auto"/>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49F945" w14:textId="77777777" w:rsidR="005342FC" w:rsidRDefault="005342FC">
      <w:pPr>
        <w:spacing w:after="0" w:line="240" w:lineRule="auto"/>
      </w:pPr>
      <w:r>
        <w:separator/>
      </w:r>
    </w:p>
  </w:footnote>
  <w:footnote w:type="continuationSeparator" w:id="0">
    <w:p w14:paraId="0B270CA6" w14:textId="77777777" w:rsidR="005342FC" w:rsidRDefault="005342FC">
      <w:pPr>
        <w:spacing w:after="0" w:line="240" w:lineRule="auto"/>
      </w:pPr>
      <w:r>
        <w:continuationSeparator/>
      </w:r>
    </w:p>
  </w:footnote>
  <w:footnote w:id="1">
    <w:p w14:paraId="0E1B42BA" w14:textId="77777777" w:rsidR="00421F72" w:rsidRDefault="005342FC">
      <w:pPr>
        <w:spacing w:after="0" w:line="240" w:lineRule="auto"/>
      </w:pPr>
      <w:r>
        <w:rPr>
          <w:vertAlign w:val="superscript"/>
        </w:rPr>
        <w:footnoteRef/>
      </w:r>
      <w:r>
        <w:rPr>
          <w:sz w:val="20"/>
          <w:szCs w:val="20"/>
        </w:rPr>
        <w:t xml:space="preserve"> Herman, “Gendered Restrooms and Minority Stress: The Public Regulation of Gender and Its Impact on Transgender People’s Lives.”</w:t>
      </w:r>
    </w:p>
  </w:footnote>
  <w:footnote w:id="2">
    <w:p w14:paraId="46DB8BFF" w14:textId="77777777" w:rsidR="00421F72" w:rsidRDefault="005342FC">
      <w:pPr>
        <w:spacing w:after="0" w:line="240" w:lineRule="auto"/>
      </w:pPr>
      <w:r>
        <w:rPr>
          <w:vertAlign w:val="superscript"/>
        </w:rPr>
        <w:footnoteRef/>
      </w:r>
      <w:r>
        <w:rPr>
          <w:sz w:val="20"/>
          <w:szCs w:val="20"/>
        </w:rPr>
        <w:t xml:space="preserve"> Ibid.</w:t>
      </w:r>
    </w:p>
  </w:footnote>
  <w:footnote w:id="3">
    <w:p w14:paraId="6F9698D7" w14:textId="77777777" w:rsidR="00421F72" w:rsidRDefault="005342FC">
      <w:pPr>
        <w:spacing w:after="0" w:line="240" w:lineRule="auto"/>
      </w:pPr>
      <w:r>
        <w:rPr>
          <w:vertAlign w:val="superscript"/>
        </w:rPr>
        <w:footnoteRef/>
      </w:r>
      <w:r>
        <w:rPr>
          <w:sz w:val="20"/>
          <w:szCs w:val="20"/>
        </w:rPr>
        <w:t xml:space="preserve"> Jaime M. Grant et al., “Injustice at Every Turn: A Report of the National Transgender Discrimination Survey.” (Washington: National Center for Transgender Equality and National Gay and Lesbian Task Force, 2011)</w:t>
      </w:r>
      <w:proofErr w:type="gramStart"/>
      <w:r>
        <w:rPr>
          <w:sz w:val="20"/>
          <w:szCs w:val="20"/>
        </w:rPr>
        <w:t>, http://www.thetaskforce.org/static_html/downloads/reports/reports/ntds_full.pdf.</w:t>
      </w:r>
      <w:proofErr w:type="gramEnd"/>
    </w:p>
  </w:footnote>
  <w:footnote w:id="4">
    <w:p w14:paraId="7F725CD3" w14:textId="77777777" w:rsidR="00421F72" w:rsidRDefault="005342FC">
      <w:pPr>
        <w:spacing w:after="0" w:line="240" w:lineRule="auto"/>
      </w:pPr>
      <w:r>
        <w:rPr>
          <w:vertAlign w:val="superscript"/>
        </w:rPr>
        <w:footnoteRef/>
      </w:r>
      <w:r>
        <w:rPr>
          <w:sz w:val="20"/>
          <w:szCs w:val="20"/>
        </w:rPr>
        <w:t xml:space="preserve"> </w:t>
      </w:r>
      <w:r>
        <w:rPr>
          <w:i/>
          <w:sz w:val="20"/>
          <w:szCs w:val="20"/>
        </w:rPr>
        <w:t xml:space="preserve">Manning v. Carter, et al. </w:t>
      </w:r>
      <w:r>
        <w:rPr>
          <w:sz w:val="20"/>
          <w:szCs w:val="20"/>
        </w:rPr>
        <w:t>1:14-cv-01609-CKK(D.D.C. 2015)</w:t>
      </w:r>
    </w:p>
  </w:footnote>
  <w:footnote w:id="5">
    <w:p w14:paraId="615FFA12" w14:textId="77777777" w:rsidR="00421F72" w:rsidRDefault="005342FC">
      <w:pPr>
        <w:spacing w:after="0" w:line="240" w:lineRule="auto"/>
      </w:pPr>
      <w:r>
        <w:rPr>
          <w:vertAlign w:val="superscript"/>
        </w:rPr>
        <w:footnoteRef/>
      </w:r>
      <w:r>
        <w:rPr>
          <w:sz w:val="20"/>
          <w:szCs w:val="20"/>
        </w:rPr>
        <w:t xml:space="preserve"> </w:t>
      </w:r>
      <w:r>
        <w:rPr>
          <w:i/>
          <w:sz w:val="20"/>
          <w:szCs w:val="20"/>
        </w:rPr>
        <w:t xml:space="preserve">Manning v. Carter, et al. </w:t>
      </w:r>
      <w:r>
        <w:rPr>
          <w:sz w:val="20"/>
          <w:szCs w:val="20"/>
        </w:rPr>
        <w:t>1:14-cv-01609-CKK(D.D.C. 2015)</w:t>
      </w:r>
    </w:p>
  </w:footnote>
  <w:footnote w:id="6">
    <w:p w14:paraId="3A096246" w14:textId="77777777" w:rsidR="00421F72" w:rsidRDefault="005342FC">
      <w:pPr>
        <w:spacing w:after="0" w:line="240" w:lineRule="auto"/>
      </w:pPr>
      <w:r>
        <w:rPr>
          <w:vertAlign w:val="superscript"/>
        </w:rPr>
        <w:footnoteRef/>
      </w:r>
      <w:r>
        <w:rPr>
          <w:sz w:val="20"/>
          <w:szCs w:val="20"/>
        </w:rPr>
        <w:t xml:space="preserve"> Harper Jean Tobin and Jennifer Levi, “Securing Equal Access to Sex-Segregated Facilities for Transgender Students,” </w:t>
      </w:r>
      <w:r>
        <w:rPr>
          <w:i/>
          <w:sz w:val="20"/>
          <w:szCs w:val="20"/>
        </w:rPr>
        <w:t xml:space="preserve">Wis. JL Gender, &amp; </w:t>
      </w:r>
      <w:proofErr w:type="spellStart"/>
      <w:r>
        <w:rPr>
          <w:i/>
          <w:sz w:val="20"/>
          <w:szCs w:val="20"/>
        </w:rPr>
        <w:t>Soc’y</w:t>
      </w:r>
      <w:proofErr w:type="spellEnd"/>
      <w:r>
        <w:rPr>
          <w:sz w:val="20"/>
          <w:szCs w:val="20"/>
        </w:rPr>
        <w:t xml:space="preserve"> 28 (2013): 301.</w:t>
      </w:r>
    </w:p>
  </w:footnote>
  <w:footnote w:id="7">
    <w:p w14:paraId="150BFA30" w14:textId="77777777" w:rsidR="00421F72" w:rsidRDefault="005342FC">
      <w:pPr>
        <w:spacing w:after="0" w:line="240" w:lineRule="auto"/>
      </w:pPr>
      <w:r>
        <w:rPr>
          <w:vertAlign w:val="superscript"/>
        </w:rPr>
        <w:footnoteRef/>
      </w:r>
      <w:r>
        <w:rPr>
          <w:sz w:val="20"/>
          <w:szCs w:val="20"/>
        </w:rPr>
        <w:t xml:space="preserve"> E. Coleman et al., “Standards of Care for the Health of Transsexual, Transgender, and Gender-Nonconforming People, Version 7,” </w:t>
      </w:r>
      <w:r>
        <w:rPr>
          <w:i/>
          <w:sz w:val="20"/>
          <w:szCs w:val="20"/>
        </w:rPr>
        <w:t>International Journal of Transgenderism</w:t>
      </w:r>
      <w:r>
        <w:rPr>
          <w:sz w:val="20"/>
          <w:szCs w:val="20"/>
        </w:rPr>
        <w:t xml:space="preserve"> 13, no. 4 (August 2012): 165–232, doi:10.1080/15532739.2011.700873.</w:t>
      </w:r>
    </w:p>
  </w:footnote>
  <w:footnote w:id="8">
    <w:p w14:paraId="0789C65A" w14:textId="77777777" w:rsidR="00421F72" w:rsidRDefault="005342FC">
      <w:pPr>
        <w:spacing w:after="0" w:line="240" w:lineRule="auto"/>
      </w:pPr>
      <w:r>
        <w:rPr>
          <w:vertAlign w:val="superscript"/>
        </w:rPr>
        <w:footnoteRef/>
      </w:r>
      <w:r>
        <w:rPr>
          <w:sz w:val="20"/>
          <w:szCs w:val="20"/>
        </w:rPr>
        <w:t xml:space="preserve"> Tobin and Levi, “Securing Equal Access to Sex-Segregated Facilities for Transgender Students.”</w:t>
      </w:r>
    </w:p>
  </w:footnote>
  <w:footnote w:id="9">
    <w:p w14:paraId="4B8B260A" w14:textId="77777777" w:rsidR="00421F72" w:rsidRDefault="005342FC">
      <w:pPr>
        <w:spacing w:after="0" w:line="240" w:lineRule="auto"/>
      </w:pPr>
      <w:r>
        <w:rPr>
          <w:vertAlign w:val="superscript"/>
        </w:rPr>
        <w:footnoteRef/>
      </w:r>
      <w:r>
        <w:rPr>
          <w:sz w:val="20"/>
          <w:szCs w:val="20"/>
        </w:rPr>
        <w:t xml:space="preserve"> “LGBT Nondiscrimination and Anti-LGBT Bills Across the Country,” </w:t>
      </w:r>
      <w:r>
        <w:rPr>
          <w:i/>
          <w:sz w:val="20"/>
          <w:szCs w:val="20"/>
        </w:rPr>
        <w:t>American Civil Liberties Union</w:t>
      </w:r>
      <w:r>
        <w:rPr>
          <w:sz w:val="20"/>
          <w:szCs w:val="20"/>
        </w:rPr>
        <w:t>, accessed January 25, 2016, https://www.aclu.org/lgbt-nondiscrimination-and-anti-lgbt-bills-across-country.</w:t>
      </w:r>
    </w:p>
  </w:footnote>
  <w:footnote w:id="10">
    <w:p w14:paraId="343F2214" w14:textId="77777777" w:rsidR="00421F72" w:rsidRDefault="005342FC">
      <w:pPr>
        <w:spacing w:after="0" w:line="240" w:lineRule="auto"/>
      </w:pPr>
      <w:r>
        <w:rPr>
          <w:vertAlign w:val="superscript"/>
        </w:rPr>
        <w:footnoteRef/>
      </w:r>
      <w:r>
        <w:rPr>
          <w:sz w:val="20"/>
          <w:szCs w:val="20"/>
        </w:rPr>
        <w:t xml:space="preserve"> Jody L Herman, “Gendered Restrooms and Minority Stress: The Public Regulation of Gender and Its Impact on Transgender People’s Lives,” </w:t>
      </w:r>
      <w:r>
        <w:rPr>
          <w:i/>
          <w:sz w:val="20"/>
          <w:szCs w:val="20"/>
        </w:rPr>
        <w:t>Journal of Public Management &amp; Social Policy</w:t>
      </w:r>
      <w:r>
        <w:rPr>
          <w:sz w:val="20"/>
          <w:szCs w:val="20"/>
        </w:rPr>
        <w:t xml:space="preserve"> 19 (2013): 65–80.</w:t>
      </w:r>
    </w:p>
  </w:footnote>
  <w:footnote w:id="11">
    <w:p w14:paraId="750B27F0" w14:textId="77777777" w:rsidR="00421F72" w:rsidRDefault="005342FC">
      <w:pPr>
        <w:spacing w:after="0" w:line="240" w:lineRule="auto"/>
      </w:pPr>
      <w:r>
        <w:rPr>
          <w:vertAlign w:val="superscript"/>
        </w:rPr>
        <w:footnoteRef/>
      </w:r>
      <w:r>
        <w:rPr>
          <w:sz w:val="20"/>
          <w:szCs w:val="20"/>
        </w:rPr>
        <w:t xml:space="preserve"> Herman, “Gendered Restrooms and Minority Stress: The Public Regulation of Gender and Its Impact on Transgender People’s Lives.”</w:t>
      </w:r>
    </w:p>
  </w:footnote>
  <w:footnote w:id="12">
    <w:p w14:paraId="480817C0" w14:textId="77777777" w:rsidR="006E0ADF" w:rsidRPr="00150FEC" w:rsidRDefault="005342FC">
      <w:pPr>
        <w:spacing w:after="0" w:line="240" w:lineRule="auto"/>
        <w:rPr>
          <w:sz w:val="20"/>
          <w:szCs w:val="20"/>
        </w:rPr>
      </w:pPr>
      <w:r>
        <w:rPr>
          <w:vertAlign w:val="superscript"/>
        </w:rPr>
        <w:footnoteRef/>
      </w:r>
      <w:r>
        <w:rPr>
          <w:sz w:val="20"/>
          <w:szCs w:val="20"/>
        </w:rPr>
        <w:t xml:space="preserve"> </w:t>
      </w:r>
      <w:proofErr w:type="gramStart"/>
      <w:r>
        <w:rPr>
          <w:sz w:val="20"/>
          <w:szCs w:val="20"/>
        </w:rPr>
        <w:t xml:space="preserve">“Discrimination, Patient,” 2015, </w:t>
      </w:r>
      <w:hyperlink r:id="rId1" w:history="1">
        <w:r w:rsidR="006E0ADF" w:rsidRPr="001D2CB6">
          <w:rPr>
            <w:rStyle w:val="Hyperlink"/>
            <w:sz w:val="20"/>
            <w:szCs w:val="20"/>
          </w:rPr>
          <w:t>http://www.aafp.org/about/policies/all/patient-discrimination.html</w:t>
        </w:r>
      </w:hyperlink>
      <w:r>
        <w:rPr>
          <w:sz w:val="20"/>
          <w:szCs w:val="20"/>
        </w:rPr>
        <w:t>.</w:t>
      </w:r>
      <w:proofErr w:type="gramEnd"/>
    </w:p>
  </w:footnote>
  <w:footnote w:id="13">
    <w:p w14:paraId="7983FA70" w14:textId="77777777" w:rsidR="00150FEC" w:rsidRDefault="00150FEC">
      <w:pPr>
        <w:pStyle w:val="FootnoteText"/>
      </w:pPr>
      <w:r>
        <w:rPr>
          <w:rStyle w:val="FootnoteReference"/>
        </w:rPr>
        <w:footnoteRef/>
      </w:r>
      <w:r>
        <w:t xml:space="preserve"> </w:t>
      </w:r>
      <w:r>
        <w:fldChar w:fldCharType="begin"/>
      </w:r>
      <w:r>
        <w:instrText xml:space="preserve"> ADDIN ZOTERO_ITEM CSL_CITATION {"citationID":"45YFUBdR","properties":{"formattedCitation":"{\\rtf \\uc0\\u8220{}Transgender Rights | New York Civil Liberties Union (NYCLU) - American Civil Liberties Union of New York State,\\uc0\\u8221{} accessed March 1, 2016, http://www.nyclu.org/issues/lgbt-rights/transgender-rights.}","plainCitation":"“Transgender Rights | New York Civil Liberties Union (NYCLU) - American Civil Liberties Union of New York State,” accessed March 1, 2016, http://www.nyclu.org/issues/lgbt-rights/transgender-rights."},"citationItems":[{"id":112,"uris":["http://zotero.org/users/local/zal8exBr/items/TP2GM23K"],"uri":["http://zotero.org/users/local/zal8exBr/items/TP2GM23K"],"itemData":{"id":112,"type":"webpage","title":"Transgender Rights | New York Civil Liberties Union (NYCLU) - American Civil Liberties Union of New York State","URL":"http://www.nyclu.org/issues/lgbt-rights/transgender-rights","accessed":{"date-parts":[["2016",3,1]]}}}],"schema":"https://github.com/citation-style-language/schema/raw/master/csl-citation.json"} </w:instrText>
      </w:r>
      <w:r>
        <w:fldChar w:fldCharType="separate"/>
      </w:r>
      <w:r w:rsidRPr="00150FEC">
        <w:rPr>
          <w:rFonts w:cs="Times New Roman"/>
          <w:szCs w:val="24"/>
        </w:rPr>
        <w:t>“Transgender Rights | New York Civil Liberties Union (NYCLU) - American Civil Liberties Union of New York State,” accessed March 1, 2016, http://www.nyclu.org/issues/lgbt-rights/transgender-rights.</w:t>
      </w:r>
      <w:r>
        <w:fldChar w:fldCharType="end"/>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421F72"/>
    <w:rsid w:val="00150FEC"/>
    <w:rsid w:val="00272499"/>
    <w:rsid w:val="003E6B9F"/>
    <w:rsid w:val="00421F72"/>
    <w:rsid w:val="005342FC"/>
    <w:rsid w:val="006A797F"/>
    <w:rsid w:val="006E0ADF"/>
    <w:rsid w:val="00A10A26"/>
    <w:rsid w:val="00BC48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9637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Garamond" w:hAnsi="Garamond" w:cs="Garamond"/>
        <w:color w:val="000000"/>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2724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2499"/>
    <w:rPr>
      <w:rFonts w:ascii="Tahoma" w:hAnsi="Tahoma" w:cs="Tahoma"/>
      <w:sz w:val="16"/>
      <w:szCs w:val="16"/>
    </w:rPr>
  </w:style>
  <w:style w:type="character" w:styleId="Hyperlink">
    <w:name w:val="Hyperlink"/>
    <w:basedOn w:val="DefaultParagraphFont"/>
    <w:uiPriority w:val="99"/>
    <w:unhideWhenUsed/>
    <w:rsid w:val="006E0ADF"/>
    <w:rPr>
      <w:color w:val="0000FF" w:themeColor="hyperlink"/>
      <w:u w:val="single"/>
    </w:rPr>
  </w:style>
  <w:style w:type="paragraph" w:styleId="Header">
    <w:name w:val="header"/>
    <w:basedOn w:val="Normal"/>
    <w:link w:val="HeaderChar"/>
    <w:uiPriority w:val="99"/>
    <w:unhideWhenUsed/>
    <w:rsid w:val="00A10A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0A26"/>
  </w:style>
  <w:style w:type="paragraph" w:styleId="Footer">
    <w:name w:val="footer"/>
    <w:basedOn w:val="Normal"/>
    <w:link w:val="FooterChar"/>
    <w:uiPriority w:val="99"/>
    <w:unhideWhenUsed/>
    <w:rsid w:val="00A10A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0A26"/>
  </w:style>
  <w:style w:type="paragraph" w:styleId="FootnoteText">
    <w:name w:val="footnote text"/>
    <w:basedOn w:val="Normal"/>
    <w:link w:val="FootnoteTextChar"/>
    <w:uiPriority w:val="99"/>
    <w:semiHidden/>
    <w:unhideWhenUsed/>
    <w:rsid w:val="00150FE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50FEC"/>
    <w:rPr>
      <w:sz w:val="20"/>
      <w:szCs w:val="20"/>
    </w:rPr>
  </w:style>
  <w:style w:type="character" w:styleId="FootnoteReference">
    <w:name w:val="footnote reference"/>
    <w:basedOn w:val="DefaultParagraphFont"/>
    <w:uiPriority w:val="99"/>
    <w:semiHidden/>
    <w:unhideWhenUsed/>
    <w:rsid w:val="00150FEC"/>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Garamond" w:hAnsi="Garamond" w:cs="Garamond"/>
        <w:color w:val="000000"/>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2724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2499"/>
    <w:rPr>
      <w:rFonts w:ascii="Tahoma" w:hAnsi="Tahoma" w:cs="Tahoma"/>
      <w:sz w:val="16"/>
      <w:szCs w:val="16"/>
    </w:rPr>
  </w:style>
  <w:style w:type="character" w:styleId="Hyperlink">
    <w:name w:val="Hyperlink"/>
    <w:basedOn w:val="DefaultParagraphFont"/>
    <w:uiPriority w:val="99"/>
    <w:unhideWhenUsed/>
    <w:rsid w:val="006E0ADF"/>
    <w:rPr>
      <w:color w:val="0000FF" w:themeColor="hyperlink"/>
      <w:u w:val="single"/>
    </w:rPr>
  </w:style>
  <w:style w:type="paragraph" w:styleId="Header">
    <w:name w:val="header"/>
    <w:basedOn w:val="Normal"/>
    <w:link w:val="HeaderChar"/>
    <w:uiPriority w:val="99"/>
    <w:unhideWhenUsed/>
    <w:rsid w:val="00A10A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0A26"/>
  </w:style>
  <w:style w:type="paragraph" w:styleId="Footer">
    <w:name w:val="footer"/>
    <w:basedOn w:val="Normal"/>
    <w:link w:val="FooterChar"/>
    <w:uiPriority w:val="99"/>
    <w:unhideWhenUsed/>
    <w:rsid w:val="00A10A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0A26"/>
  </w:style>
  <w:style w:type="paragraph" w:styleId="FootnoteText">
    <w:name w:val="footnote text"/>
    <w:basedOn w:val="Normal"/>
    <w:link w:val="FootnoteTextChar"/>
    <w:uiPriority w:val="99"/>
    <w:semiHidden/>
    <w:unhideWhenUsed/>
    <w:rsid w:val="00150FE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50FEC"/>
    <w:rPr>
      <w:sz w:val="20"/>
      <w:szCs w:val="20"/>
    </w:rPr>
  </w:style>
  <w:style w:type="character" w:styleId="FootnoteReference">
    <w:name w:val="footnote reference"/>
    <w:basedOn w:val="DefaultParagraphFont"/>
    <w:uiPriority w:val="99"/>
    <w:semiHidden/>
    <w:unhideWhenUsed/>
    <w:rsid w:val="00150FE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footnotes.xml.rels><?xml version="1.0" encoding="UTF-8" standalone="yes"?>
<Relationships xmlns="http://schemas.openxmlformats.org/package/2006/relationships"><Relationship Id="rId1" Type="http://schemas.openxmlformats.org/officeDocument/2006/relationships/hyperlink" Target="http://www.aafp.org/about/policies/all/patient-discriminatio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487</Words>
  <Characters>2781</Characters>
  <Application>Microsoft Macintosh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Ying Zhang</dc:creator>
  <cp:lastModifiedBy>Linda Prine</cp:lastModifiedBy>
  <cp:revision>3</cp:revision>
  <dcterms:created xsi:type="dcterms:W3CDTF">2016-03-02T19:42:00Z</dcterms:created>
  <dcterms:modified xsi:type="dcterms:W3CDTF">2016-03-05T00:37:00Z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zotero-version="4.0.26.1"&gt;&lt;session id="RvjmJCyn"/&gt;&lt;style id="http://www.zotero.org/styles/chicago-fullnote-bibliography" hasBibliography="1" bibliographyStyleHasBeenSet="0"/&gt;&lt;prefs&gt;&lt;pref name="fieldType" value="Field"/&gt;&lt;pref name="s</vt:lpwstr>
  </property>
  <property fmtid="{D5CDD505-2E9C-101B-9397-08002B2CF9AE}" pid="3" name="ZOTERO_PREF_2">
    <vt:lpwstr>toreReferences" value="true"/&gt;&lt;pref name="automaticJournalAbbreviations" value="true"/&gt;&lt;pref name="noteType" value="1"/&gt;&lt;/prefs&gt;&lt;/data&gt;</vt:lpwstr>
  </property>
</Properties>
</file>