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089F68" w14:textId="77777777" w:rsidR="009C3CDB" w:rsidRPr="00FE26E2" w:rsidRDefault="00D52FFA" w:rsidP="00FE26E2">
      <w:pPr>
        <w:pStyle w:val="Normal1"/>
        <w:jc w:val="center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FE26E2">
        <w:rPr>
          <w:rFonts w:asciiTheme="minorHAnsi" w:hAnsiTheme="minorHAnsi" w:cs="Times New Roman"/>
          <w:b/>
          <w:color w:val="auto"/>
          <w:sz w:val="28"/>
          <w:szCs w:val="28"/>
        </w:rPr>
        <w:t>Resolution: Increasing Diversity in Family Medicine</w:t>
      </w:r>
    </w:p>
    <w:p w14:paraId="24BC85FE" w14:textId="77777777" w:rsidR="00423A3C" w:rsidRPr="00FE26E2" w:rsidRDefault="00423A3C">
      <w:pPr>
        <w:pStyle w:val="Normal1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6F6D1725" w14:textId="2A03F9D7" w:rsidR="00423A3C" w:rsidRPr="00FE26E2" w:rsidRDefault="00B71467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Author(s):</w:t>
      </w:r>
      <w:r w:rsidR="00423A3C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FE26E2">
        <w:rPr>
          <w:rFonts w:asciiTheme="minorHAnsi" w:hAnsiTheme="minorHAnsi" w:cs="Times New Roman"/>
          <w:i/>
          <w:color w:val="auto"/>
          <w:sz w:val="22"/>
          <w:szCs w:val="22"/>
        </w:rPr>
        <w:t>[Name(s)</w:t>
      </w:r>
      <w:r w:rsidR="00A507EA" w:rsidRPr="00FE26E2">
        <w:rPr>
          <w:rFonts w:asciiTheme="minorHAnsi" w:hAnsiTheme="minorHAnsi" w:cs="Times New Roman"/>
          <w:i/>
          <w:color w:val="auto"/>
          <w:sz w:val="22"/>
          <w:szCs w:val="22"/>
        </w:rPr>
        <w:t xml:space="preserve"> and </w:t>
      </w:r>
      <w:r w:rsidR="00B55A8C" w:rsidRPr="00FE26E2">
        <w:rPr>
          <w:rFonts w:asciiTheme="minorHAnsi" w:hAnsiTheme="minorHAnsi" w:cs="Times New Roman"/>
          <w:i/>
          <w:color w:val="auto"/>
          <w:sz w:val="22"/>
          <w:szCs w:val="22"/>
        </w:rPr>
        <w:t>state chapter</w:t>
      </w:r>
      <w:r w:rsidR="00A507EA" w:rsidRPr="00FE26E2">
        <w:rPr>
          <w:rFonts w:asciiTheme="minorHAnsi" w:hAnsiTheme="minorHAnsi" w:cs="Times New Roman"/>
          <w:i/>
          <w:color w:val="auto"/>
          <w:sz w:val="22"/>
          <w:szCs w:val="22"/>
        </w:rPr>
        <w:t>]</w:t>
      </w:r>
    </w:p>
    <w:p w14:paraId="3ED825E2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0532256C" w14:textId="77777777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WHEREAS, the physician workforce is lacking in diversity and does not proportionally reflect the populations it serves</w:t>
      </w:r>
      <w:r w:rsidRPr="00FE26E2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1,2,3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>, and</w:t>
      </w:r>
    </w:p>
    <w:p w14:paraId="6FD25D4C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59D6E350" w14:textId="591A4FD2" w:rsidR="00A507EA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WHEREAS, workforce diversity is a value recognized by the AAFP</w:t>
      </w:r>
      <w:r w:rsidR="00A507EA" w:rsidRPr="00FE26E2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3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A507EA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 and</w:t>
      </w:r>
    </w:p>
    <w:p w14:paraId="46AF9600" w14:textId="77777777" w:rsidR="00A507EA" w:rsidRPr="00FE26E2" w:rsidRDefault="00A507E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74522E3C" w14:textId="2C6C1F9A" w:rsidR="009C3CDB" w:rsidRPr="00FE26E2" w:rsidRDefault="00A507E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WHEREAS, </w:t>
      </w:r>
      <w:r w:rsidR="00D52FFA" w:rsidRPr="00FE26E2">
        <w:rPr>
          <w:rFonts w:asciiTheme="minorHAnsi" w:hAnsiTheme="minorHAnsi" w:cs="Times New Roman"/>
          <w:color w:val="auto"/>
          <w:sz w:val="22"/>
          <w:szCs w:val="22"/>
        </w:rPr>
        <w:t>admission to residency for medical students of color is hindered by performance on standardized tests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>, and</w:t>
      </w:r>
      <w:r w:rsidR="00D52FFA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 an ACGME requirement of 90 percent first time pass rate for the ABFM exa</w:t>
      </w:r>
      <w:r w:rsidR="00A47FC3" w:rsidRPr="00FE26E2">
        <w:rPr>
          <w:rFonts w:asciiTheme="minorHAnsi" w:hAnsiTheme="minorHAnsi" w:cs="Times New Roman"/>
          <w:color w:val="auto"/>
          <w:sz w:val="22"/>
          <w:szCs w:val="22"/>
        </w:rPr>
        <w:t>m</w:t>
      </w:r>
      <w:r w:rsidR="00D52FFA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, and </w:t>
      </w:r>
    </w:p>
    <w:p w14:paraId="0FC496EE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03DEE7EE" w14:textId="77777777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WHEREAS, approximately half of Family Medicine residency programs do not meet the above requirement</w:t>
      </w:r>
      <w:r w:rsidRPr="00FE26E2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4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>, and</w:t>
      </w:r>
    </w:p>
    <w:p w14:paraId="1974432B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1C419AD2" w14:textId="581A68F2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WHEREAS, Latino, </w:t>
      </w:r>
      <w:r w:rsidR="00A15C71" w:rsidRPr="00FE26E2">
        <w:rPr>
          <w:rFonts w:asciiTheme="minorHAnsi" w:hAnsiTheme="minorHAnsi" w:cs="Times New Roman"/>
          <w:color w:val="auto"/>
          <w:sz w:val="22"/>
          <w:szCs w:val="22"/>
        </w:rPr>
        <w:t>African American, and Native American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0D6B95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students 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historically underperform on standardized tests, including the </w:t>
      </w:r>
      <w:proofErr w:type="gramStart"/>
      <w:r w:rsidRPr="00FE26E2">
        <w:rPr>
          <w:rFonts w:asciiTheme="minorHAnsi" w:hAnsiTheme="minorHAnsi" w:cs="Times New Roman"/>
          <w:color w:val="auto"/>
          <w:sz w:val="22"/>
          <w:szCs w:val="22"/>
        </w:rPr>
        <w:t>MCAT</w:t>
      </w:r>
      <w:r w:rsidRPr="00FE26E2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2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 ,</w:t>
      </w:r>
      <w:proofErr w:type="gramEnd"/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 and</w:t>
      </w:r>
    </w:p>
    <w:p w14:paraId="1BDD27BC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0E4A08AE" w14:textId="77777777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WHEREAS, a high percentage of residency programs use USMLE Step 1 scores when deciding which applicants to interview</w:t>
      </w:r>
      <w:r w:rsidRPr="00FE26E2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5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, and </w:t>
      </w:r>
      <w:r w:rsidRPr="00FE26E2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 xml:space="preserve"> </w:t>
      </w:r>
    </w:p>
    <w:p w14:paraId="493BA339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0FF19B66" w14:textId="77777777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WHEREAS, there is no </w:t>
      </w:r>
      <w:r w:rsidR="0022059A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good 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evidence that Step or Board test scores produce more competent physicians, and </w:t>
      </w:r>
    </w:p>
    <w:p w14:paraId="42E35BCA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27453604" w14:textId="77777777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WHEREAS, many publications affirm that “Subjective, multiple-choice, and standardized patient assessments, although reliable, underemphasize important domains of professional competence: integration of knowledge and skills, context of care, information management, teamwork, health systems, and patient-physician relationships”</w:t>
      </w:r>
      <w:r w:rsidRPr="00FE26E2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7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>, and</w:t>
      </w:r>
    </w:p>
    <w:p w14:paraId="253604EE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2467F142" w14:textId="77777777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WHEREAS, adaptability and the ability to organize one’s thought process and work as part of a team are considered defining qualities of competency in for both residents and attending physicians, these characteristics are not measured in exam scores, and</w:t>
      </w:r>
    </w:p>
    <w:p w14:paraId="429F3FCD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725F789B" w14:textId="77777777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WHEREAS, It has been shown that underrepresented minority residents (URMs) perform as well as non-URMs on postgraduate orientation assessments (POA</w:t>
      </w:r>
      <w:proofErr w:type="gramStart"/>
      <w:r w:rsidRPr="00FE26E2">
        <w:rPr>
          <w:rFonts w:asciiTheme="minorHAnsi" w:hAnsiTheme="minorHAnsi" w:cs="Times New Roman"/>
          <w:color w:val="auto"/>
          <w:sz w:val="22"/>
          <w:szCs w:val="22"/>
        </w:rPr>
        <w:t>)</w:t>
      </w:r>
      <w:r w:rsidRPr="00FE26E2">
        <w:rPr>
          <w:rFonts w:asciiTheme="minorHAnsi" w:hAnsiTheme="minorHAnsi" w:cs="Times New Roman"/>
          <w:color w:val="auto"/>
          <w:sz w:val="22"/>
          <w:szCs w:val="22"/>
          <w:vertAlign w:val="superscript"/>
        </w:rPr>
        <w:t>8</w:t>
      </w:r>
      <w:proofErr w:type="gramEnd"/>
      <w:r w:rsidRPr="00FE26E2">
        <w:rPr>
          <w:rFonts w:asciiTheme="minorHAnsi" w:hAnsiTheme="minorHAnsi" w:cs="Times New Roman"/>
          <w:color w:val="auto"/>
          <w:sz w:val="22"/>
          <w:szCs w:val="22"/>
        </w:rPr>
        <w:t>, now, therefore, be it</w:t>
      </w:r>
    </w:p>
    <w:p w14:paraId="27C48ED4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3AA81D07" w14:textId="1375D883" w:rsidR="009C3CDB" w:rsidRPr="00FE26E2" w:rsidRDefault="00D52FFA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  <w:r w:rsidRPr="00FE26E2">
        <w:rPr>
          <w:rFonts w:asciiTheme="minorHAnsi" w:hAnsiTheme="minorHAnsi" w:cs="Times New Roman"/>
          <w:color w:val="auto"/>
          <w:sz w:val="22"/>
          <w:szCs w:val="22"/>
        </w:rPr>
        <w:t>RESOLVED that the</w:t>
      </w:r>
      <w:r w:rsidR="00B55A8C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bookmarkStart w:id="0" w:name="_GoBack"/>
      <w:r w:rsidR="00B55A8C" w:rsidRPr="00FE26E2">
        <w:rPr>
          <w:rFonts w:asciiTheme="minorHAnsi" w:hAnsiTheme="minorHAnsi" w:cs="Times New Roman"/>
          <w:i/>
          <w:color w:val="auto"/>
          <w:sz w:val="22"/>
          <w:szCs w:val="22"/>
        </w:rPr>
        <w:t>[Your State Chapter]</w:t>
      </w:r>
      <w:r w:rsidR="00B55A8C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bookmarkEnd w:id="0"/>
      <w:r w:rsidRPr="00FE26E2">
        <w:rPr>
          <w:rFonts w:asciiTheme="minorHAnsi" w:hAnsiTheme="minorHAnsi" w:cs="Times New Roman"/>
          <w:color w:val="auto"/>
          <w:sz w:val="22"/>
          <w:szCs w:val="22"/>
        </w:rPr>
        <w:t>will submit a resolution to the AAFP to make a recommendation in writing to ACGME that, in the interest of broadening racial and class diversity in family medicine, board scores and pass rate</w:t>
      </w:r>
      <w:r w:rsidR="00A507EA"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s should no longer be used as </w:t>
      </w:r>
      <w:r w:rsidRPr="00FE26E2">
        <w:rPr>
          <w:rFonts w:asciiTheme="minorHAnsi" w:hAnsiTheme="minorHAnsi" w:cs="Times New Roman"/>
          <w:color w:val="auto"/>
          <w:sz w:val="22"/>
          <w:szCs w:val="22"/>
        </w:rPr>
        <w:t xml:space="preserve">criteria for </w:t>
      </w:r>
      <w:r w:rsidR="00A15C71" w:rsidRPr="00FE26E2">
        <w:rPr>
          <w:rFonts w:asciiTheme="minorHAnsi" w:hAnsiTheme="minorHAnsi" w:cs="Times New Roman"/>
          <w:color w:val="auto"/>
          <w:sz w:val="22"/>
          <w:szCs w:val="22"/>
        </w:rPr>
        <w:t>giving a citation or area of concern to a residency program.</w:t>
      </w:r>
    </w:p>
    <w:p w14:paraId="5E6E705B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4DD93297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2076BB66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2"/>
          <w:szCs w:val="22"/>
        </w:rPr>
      </w:pPr>
    </w:p>
    <w:p w14:paraId="06000B27" w14:textId="77777777" w:rsidR="009C3CDB" w:rsidRPr="00FE26E2" w:rsidRDefault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Deville C, Hwang W, Burgos R, Chapman CH, Both S, Thomas CR. Diversity in Graduate Medical Education in the United States by Race, Ethnicity, and Sex, 2012.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JAMA Intern Med.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2015;175(10):1706-1708. doi:10.1001/jamainternmed.2015.4324</w:t>
      </w:r>
    </w:p>
    <w:p w14:paraId="4AB89B81" w14:textId="77777777" w:rsidR="009C3CDB" w:rsidRPr="00FE26E2" w:rsidRDefault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Lypson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ML, Ross PT,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Hamstra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SJ,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Haftel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HM,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Gruppen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LD,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Colletti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LM. Evidence for Increasing Diversity in Graduate Medical Education: The Competence of Underrepresented Minority Residents Measured by an Intern Objective Structured Clinical Examination.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 xml:space="preserve">Journal of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lastRenderedPageBreak/>
        <w:t>Graduate Medical Education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>. 2010;2(3):354-359. doi:10.4300/JGME-D-10-00050.1.</w:t>
      </w:r>
    </w:p>
    <w:p w14:paraId="27327084" w14:textId="77777777" w:rsidR="00D52FFA" w:rsidRPr="00FE26E2" w:rsidRDefault="00D52FFA" w:rsidP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Xierali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IM, Hughes LS,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Nivet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MA,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Bazemore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AW. Family medicine residents: increasingly diverse, but lagging behind underrepresented minority population trends.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American Family Physician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>. 2014 July 15; 90(2):80-81.</w:t>
      </w:r>
    </w:p>
    <w:p w14:paraId="55134AD3" w14:textId="77777777" w:rsidR="009C3CDB" w:rsidRPr="00FE26E2" w:rsidRDefault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r w:rsidRPr="00FE26E2">
        <w:rPr>
          <w:rFonts w:asciiTheme="minorHAnsi" w:hAnsiTheme="minorHAnsi" w:cs="Times New Roman"/>
          <w:color w:val="auto"/>
          <w:sz w:val="20"/>
          <w:szCs w:val="20"/>
        </w:rPr>
        <w:t>acgme.org</w:t>
      </w:r>
    </w:p>
    <w:p w14:paraId="602A5672" w14:textId="77777777" w:rsidR="009C3CDB" w:rsidRPr="00FE26E2" w:rsidRDefault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Falcone, J. L., &amp; Middleton, D. B. (2013). Pass rates on the American Board of Family Medicine Certification Exam by residency location and size.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The Journal of the American Board of Family Medicine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26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>(4), 453-459.</w:t>
      </w:r>
    </w:p>
    <w:p w14:paraId="53432C6E" w14:textId="77777777" w:rsidR="009C3CDB" w:rsidRPr="00FE26E2" w:rsidRDefault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Edmond, M. B., Deschenes, J. L.,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Eckler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, M., &amp; Wenzel, R. P. (2001). Racial bias in using USMLE step 1 scores to grant internal medicine residency interviews.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Academic Medicine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,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76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>(12), 1253-1256.</w:t>
      </w:r>
    </w:p>
    <w:p w14:paraId="530C49B5" w14:textId="77777777" w:rsidR="009C3CDB" w:rsidRPr="00FE26E2" w:rsidRDefault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bookmarkStart w:id="1" w:name="_gjdgxs" w:colFirst="0" w:colLast="0"/>
      <w:bookmarkEnd w:id="1"/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Grosch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>, Eric N. "Does specialty board certification influence clinical outcomes</w:t>
      </w:r>
      <w:proofErr w:type="gramStart"/>
      <w:r w:rsidRPr="00FE26E2">
        <w:rPr>
          <w:rFonts w:asciiTheme="minorHAnsi" w:hAnsiTheme="minorHAnsi" w:cs="Times New Roman"/>
          <w:color w:val="auto"/>
          <w:sz w:val="20"/>
          <w:szCs w:val="20"/>
        </w:rPr>
        <w:t>?.</w:t>
      </w:r>
      <w:proofErr w:type="gram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"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Journal of evaluation in clinical practice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12.5 (2006): 473-481.</w:t>
      </w:r>
    </w:p>
    <w:p w14:paraId="1974851D" w14:textId="77777777" w:rsidR="009C3CDB" w:rsidRPr="00FE26E2" w:rsidRDefault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Epstein RM,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Hundert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EM. Defining and Assessing Professional Competence.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JAMA.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2002;287(2):226-235. doi:10.1001/jama.287.2.226</w:t>
      </w:r>
    </w:p>
    <w:p w14:paraId="262373A4" w14:textId="77777777" w:rsidR="009C3CDB" w:rsidRPr="00FE26E2" w:rsidRDefault="00D52FFA">
      <w:pPr>
        <w:pStyle w:val="Normal1"/>
        <w:numPr>
          <w:ilvl w:val="0"/>
          <w:numId w:val="1"/>
        </w:numPr>
        <w:ind w:hanging="360"/>
        <w:contextualSpacing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Lypson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ML, Ross PT,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Hamstra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SJ,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Haftel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HM,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Gruppen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LD, </w:t>
      </w:r>
      <w:proofErr w:type="spellStart"/>
      <w:r w:rsidRPr="00FE26E2">
        <w:rPr>
          <w:rFonts w:asciiTheme="minorHAnsi" w:hAnsiTheme="minorHAnsi" w:cs="Times New Roman"/>
          <w:color w:val="auto"/>
          <w:sz w:val="20"/>
          <w:szCs w:val="20"/>
        </w:rPr>
        <w:t>Colletti</w:t>
      </w:r>
      <w:proofErr w:type="spellEnd"/>
      <w:r w:rsidRPr="00FE26E2">
        <w:rPr>
          <w:rFonts w:asciiTheme="minorHAnsi" w:hAnsiTheme="minorHAnsi" w:cs="Times New Roman"/>
          <w:color w:val="auto"/>
          <w:sz w:val="20"/>
          <w:szCs w:val="20"/>
        </w:rPr>
        <w:t xml:space="preserve"> LM. Evidence for Increasing Diversity in Graduate Medical Education: The Competence of Underrepresented Minority Residents Measured by an Intern Objective Structured Clinical Examination. </w:t>
      </w:r>
      <w:r w:rsidRPr="00FE26E2">
        <w:rPr>
          <w:rFonts w:asciiTheme="minorHAnsi" w:hAnsiTheme="minorHAnsi" w:cs="Times New Roman"/>
          <w:i/>
          <w:color w:val="auto"/>
          <w:sz w:val="20"/>
          <w:szCs w:val="20"/>
        </w:rPr>
        <w:t>Journal of Graduate Medical Education</w:t>
      </w:r>
      <w:r w:rsidRPr="00FE26E2">
        <w:rPr>
          <w:rFonts w:asciiTheme="minorHAnsi" w:hAnsiTheme="minorHAnsi" w:cs="Times New Roman"/>
          <w:color w:val="auto"/>
          <w:sz w:val="20"/>
          <w:szCs w:val="20"/>
        </w:rPr>
        <w:t>. 2010;2(3):354-359. doi:10.4300/JGME-D-10-00050.1.</w:t>
      </w:r>
    </w:p>
    <w:p w14:paraId="391826B5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0"/>
          <w:szCs w:val="20"/>
        </w:rPr>
      </w:pPr>
    </w:p>
    <w:p w14:paraId="6E91B635" w14:textId="77777777" w:rsidR="009C3CDB" w:rsidRPr="00FE26E2" w:rsidRDefault="009C3CDB">
      <w:pPr>
        <w:pStyle w:val="Normal1"/>
        <w:rPr>
          <w:rFonts w:asciiTheme="minorHAnsi" w:hAnsiTheme="minorHAnsi" w:cs="Times New Roman"/>
          <w:color w:val="auto"/>
          <w:sz w:val="20"/>
          <w:szCs w:val="20"/>
        </w:rPr>
      </w:pPr>
    </w:p>
    <w:p w14:paraId="670801E4" w14:textId="77777777" w:rsidR="009C3CDB" w:rsidRPr="00FE26E2" w:rsidRDefault="009C3CDB" w:rsidP="0022059A">
      <w:pPr>
        <w:pStyle w:val="Normal1"/>
        <w:contextualSpacing/>
        <w:rPr>
          <w:rFonts w:asciiTheme="minorHAnsi" w:hAnsiTheme="minorHAnsi" w:cs="Times New Roman"/>
          <w:sz w:val="20"/>
          <w:szCs w:val="20"/>
        </w:rPr>
      </w:pPr>
    </w:p>
    <w:sectPr w:rsidR="009C3CDB" w:rsidRPr="00FE26E2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4772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F4A"/>
    <w:multiLevelType w:val="multilevel"/>
    <w:tmpl w:val="CC72DD5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1B703E4A"/>
    <w:multiLevelType w:val="multilevel"/>
    <w:tmpl w:val="AE58ED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670F6E09"/>
    <w:multiLevelType w:val="multilevel"/>
    <w:tmpl w:val="170A347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3CDB"/>
    <w:rsid w:val="000D6B95"/>
    <w:rsid w:val="0022059A"/>
    <w:rsid w:val="00423A3C"/>
    <w:rsid w:val="009C3CDB"/>
    <w:rsid w:val="00A02D1F"/>
    <w:rsid w:val="00A15C71"/>
    <w:rsid w:val="00A47FC3"/>
    <w:rsid w:val="00A507EA"/>
    <w:rsid w:val="00B55A8C"/>
    <w:rsid w:val="00B71467"/>
    <w:rsid w:val="00D52FFA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54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F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2F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2FFA"/>
  </w:style>
  <w:style w:type="paragraph" w:styleId="ListParagraph">
    <w:name w:val="List Paragraph"/>
    <w:basedOn w:val="Normal"/>
    <w:uiPriority w:val="34"/>
    <w:qFormat/>
    <w:rsid w:val="00D52FF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C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C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FF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FF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52F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52FFA"/>
  </w:style>
  <w:style w:type="paragraph" w:styleId="ListParagraph">
    <w:name w:val="List Paragraph"/>
    <w:basedOn w:val="Normal"/>
    <w:uiPriority w:val="34"/>
    <w:qFormat/>
    <w:rsid w:val="00D52FF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C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C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Martha</dc:creator>
  <cp:lastModifiedBy>Simmons, Martha</cp:lastModifiedBy>
  <cp:revision>3</cp:revision>
  <dcterms:created xsi:type="dcterms:W3CDTF">2017-04-05T18:50:00Z</dcterms:created>
  <dcterms:modified xsi:type="dcterms:W3CDTF">2017-04-05T19:12:00Z</dcterms:modified>
</cp:coreProperties>
</file>