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D66A9" w14:textId="3BE03F17" w:rsidR="0047765C" w:rsidRPr="009C2B0E" w:rsidRDefault="0047765C" w:rsidP="006D3F54">
      <w:pPr>
        <w:rPr>
          <w:rFonts w:ascii="Georgia" w:hAnsi="Georgia"/>
          <w:b/>
        </w:rPr>
      </w:pPr>
      <w:r w:rsidRPr="009C2B0E">
        <w:rPr>
          <w:rFonts w:ascii="Georgia" w:hAnsi="Georgia"/>
          <w:b/>
        </w:rPr>
        <w:t>Resolution:</w:t>
      </w:r>
      <w:r w:rsidR="00BF3283" w:rsidRPr="009C2B0E">
        <w:rPr>
          <w:rFonts w:ascii="Georgia" w:hAnsi="Georgia"/>
          <w:b/>
        </w:rPr>
        <w:t xml:space="preserve"> </w:t>
      </w:r>
      <w:bookmarkStart w:id="0" w:name="_GoBack"/>
      <w:r w:rsidR="00295C9F" w:rsidRPr="009C2B0E">
        <w:rPr>
          <w:rFonts w:ascii="Georgia" w:hAnsi="Georgia"/>
          <w:b/>
        </w:rPr>
        <w:t xml:space="preserve">Screening, </w:t>
      </w:r>
      <w:r w:rsidR="00BF3283" w:rsidRPr="009C2B0E">
        <w:rPr>
          <w:rFonts w:ascii="Georgia" w:hAnsi="Georgia"/>
          <w:b/>
        </w:rPr>
        <w:t>Intervening</w:t>
      </w:r>
      <w:r w:rsidR="00295C9F" w:rsidRPr="009C2B0E">
        <w:rPr>
          <w:rFonts w:ascii="Georgia" w:hAnsi="Georgia"/>
          <w:b/>
        </w:rPr>
        <w:t>, and Advocating</w:t>
      </w:r>
      <w:r w:rsidR="00BF3283" w:rsidRPr="009C2B0E">
        <w:rPr>
          <w:rFonts w:ascii="Georgia" w:hAnsi="Georgia"/>
          <w:b/>
        </w:rPr>
        <w:t xml:space="preserve"> to Address Food Insecurity</w:t>
      </w:r>
      <w:bookmarkEnd w:id="0"/>
    </w:p>
    <w:p w14:paraId="23983BFC" w14:textId="24E13797" w:rsidR="0047765C" w:rsidRPr="00A17486" w:rsidRDefault="000F093A" w:rsidP="006D3F54">
      <w:pPr>
        <w:rPr>
          <w:rFonts w:ascii="Georgia" w:hAnsi="Georgia"/>
          <w:bCs/>
        </w:rPr>
      </w:pPr>
      <w:r w:rsidRPr="00A17486">
        <w:rPr>
          <w:rFonts w:ascii="Georgia" w:hAnsi="Georgia"/>
          <w:bCs/>
        </w:rPr>
        <w:t>Introduced by: Dr. Venis Wilder</w:t>
      </w:r>
    </w:p>
    <w:p w14:paraId="2241FD2D" w14:textId="77777777" w:rsidR="0020485A" w:rsidRPr="00A17486" w:rsidRDefault="00260D6A" w:rsidP="006D3F54">
      <w:pPr>
        <w:rPr>
          <w:rFonts w:ascii="Georgia" w:hAnsi="Georgia"/>
          <w:bCs/>
        </w:rPr>
      </w:pPr>
      <w:r w:rsidRPr="00A17486">
        <w:rPr>
          <w:rFonts w:ascii="Georgia" w:hAnsi="Georgia"/>
          <w:b/>
          <w:bCs/>
        </w:rPr>
        <w:t xml:space="preserve">WHEREAS, </w:t>
      </w:r>
      <w:r w:rsidR="006A67E5" w:rsidRPr="00A17486">
        <w:rPr>
          <w:rFonts w:ascii="Georgia" w:hAnsi="Georgia"/>
          <w:bCs/>
        </w:rPr>
        <w:t xml:space="preserve">food insecurity is a </w:t>
      </w:r>
      <w:r w:rsidRPr="00A17486">
        <w:rPr>
          <w:rFonts w:ascii="Georgia" w:hAnsi="Georgia"/>
          <w:bCs/>
        </w:rPr>
        <w:t>social determinan</w:t>
      </w:r>
      <w:r w:rsidR="006A67E5" w:rsidRPr="00A17486">
        <w:rPr>
          <w:rFonts w:ascii="Georgia" w:hAnsi="Georgia"/>
          <w:bCs/>
        </w:rPr>
        <w:t>t of health</w:t>
      </w:r>
      <w:r w:rsidR="0020485A" w:rsidRPr="00A17486">
        <w:rPr>
          <w:rFonts w:ascii="Georgia" w:hAnsi="Georgia"/>
          <w:bCs/>
        </w:rPr>
        <w:t>;</w:t>
      </w:r>
    </w:p>
    <w:p w14:paraId="589A7DE3" w14:textId="6F1E5FD0" w:rsidR="006C7C8B" w:rsidRPr="009C2B0E" w:rsidRDefault="0020485A" w:rsidP="006D3F54">
      <w:pPr>
        <w:rPr>
          <w:rFonts w:ascii="Georgia" w:eastAsia="Times New Roman" w:hAnsi="Georgia" w:cs="Times New Roman"/>
        </w:rPr>
      </w:pPr>
      <w:r w:rsidRPr="00A17486">
        <w:rPr>
          <w:rFonts w:ascii="Georgia" w:hAnsi="Georgia"/>
          <w:b/>
          <w:bCs/>
        </w:rPr>
        <w:t xml:space="preserve">WHEREAS, </w:t>
      </w:r>
      <w:r w:rsidR="006A67E5" w:rsidRPr="00A17486">
        <w:rPr>
          <w:rFonts w:ascii="Georgia" w:hAnsi="Georgia"/>
          <w:bCs/>
        </w:rPr>
        <w:t xml:space="preserve">more than </w:t>
      </w:r>
      <w:r w:rsidR="006C7C8B" w:rsidRPr="009C2B0E">
        <w:rPr>
          <w:rFonts w:ascii="Georgia" w:eastAsia="Times New Roman" w:hAnsi="Georgia" w:cs="Times New Roman"/>
        </w:rPr>
        <w:t>42.2 million Americans live in food-insecure households</w:t>
      </w:r>
      <w:r w:rsidRPr="009C2B0E">
        <w:rPr>
          <w:rFonts w:ascii="Georgia" w:eastAsia="Times New Roman" w:hAnsi="Georgia" w:cs="Times New Roman"/>
        </w:rPr>
        <w:t xml:space="preserve"> in rural, urban, and suburban communities, and no state or county is immune from food insecurity</w:t>
      </w:r>
      <w:r w:rsidR="006C7C8B" w:rsidRPr="009C2B0E">
        <w:rPr>
          <w:rFonts w:ascii="Georgia" w:eastAsia="Times New Roman" w:hAnsi="Georgia" w:cs="Times New Roman"/>
        </w:rPr>
        <w:t>;</w:t>
      </w:r>
      <w:r w:rsidR="006C6C06" w:rsidRPr="009C2B0E">
        <w:rPr>
          <w:rStyle w:val="FootnoteReference"/>
          <w:rFonts w:ascii="Georgia" w:eastAsia="Times New Roman" w:hAnsi="Georgia" w:cs="Times New Roman"/>
        </w:rPr>
        <w:footnoteReference w:id="1"/>
      </w:r>
      <w:r w:rsidR="006C7C8B" w:rsidRPr="009C2B0E">
        <w:rPr>
          <w:rFonts w:ascii="Georgia" w:eastAsia="Times New Roman" w:hAnsi="Georgia" w:cs="Times New Roman"/>
        </w:rPr>
        <w:t xml:space="preserve"> </w:t>
      </w:r>
    </w:p>
    <w:p w14:paraId="39DC65CD" w14:textId="44FD9029" w:rsidR="006C7C8B" w:rsidRPr="009C2B0E" w:rsidRDefault="00F010E0" w:rsidP="006D3F54">
      <w:pPr>
        <w:rPr>
          <w:rFonts w:ascii="Georgia" w:eastAsia="Times New Roman" w:hAnsi="Georgia" w:cs="Times New Roman"/>
          <w:color w:val="4B4B4B"/>
        </w:rPr>
      </w:pPr>
      <w:r w:rsidRPr="00A17486">
        <w:rPr>
          <w:rFonts w:ascii="Georgia" w:hAnsi="Georgia"/>
          <w:b/>
          <w:bCs/>
        </w:rPr>
        <w:t xml:space="preserve">WHEREAS, </w:t>
      </w:r>
      <w:r w:rsidR="00B36CC7" w:rsidRPr="00A17486">
        <w:rPr>
          <w:rFonts w:ascii="Georgia" w:hAnsi="Georgia"/>
          <w:bCs/>
        </w:rPr>
        <w:t>food insecurity</w:t>
      </w:r>
      <w:r w:rsidR="003F2038" w:rsidRPr="00A17486">
        <w:rPr>
          <w:rFonts w:ascii="Georgia" w:hAnsi="Georgia"/>
          <w:bCs/>
        </w:rPr>
        <w:t xml:space="preserve"> in adulthood</w:t>
      </w:r>
      <w:r w:rsidR="00B36CC7" w:rsidRPr="00A17486">
        <w:rPr>
          <w:rFonts w:ascii="Georgia" w:hAnsi="Georgia"/>
          <w:bCs/>
        </w:rPr>
        <w:t xml:space="preserve"> </w:t>
      </w:r>
      <w:r w:rsidR="003F2038" w:rsidRPr="00A17486">
        <w:rPr>
          <w:rFonts w:ascii="Georgia" w:hAnsi="Georgia"/>
          <w:bCs/>
        </w:rPr>
        <w:t xml:space="preserve">is associated with </w:t>
      </w:r>
      <w:r w:rsidR="006C7C8B" w:rsidRPr="00A17486">
        <w:rPr>
          <w:rFonts w:ascii="Georgia" w:hAnsi="Georgia"/>
          <w:bCs/>
        </w:rPr>
        <w:t>diabetes, heart disease, hypertension, pregnancy complications, poor overall health status, poor sleep outcomes, functional limitations, depression and mental health problems, and obesity (primarily in women);</w:t>
      </w:r>
      <w:r w:rsidR="006C7C8B" w:rsidRPr="00A17486">
        <w:rPr>
          <w:rStyle w:val="FootnoteReference"/>
          <w:rFonts w:ascii="Georgia" w:hAnsi="Georgia"/>
          <w:bCs/>
        </w:rPr>
        <w:footnoteReference w:id="2"/>
      </w:r>
      <w:r w:rsidR="003F2038" w:rsidRPr="00A17486">
        <w:rPr>
          <w:rFonts w:ascii="Georgia" w:hAnsi="Georgia"/>
          <w:bCs/>
          <w:vertAlign w:val="superscript"/>
        </w:rPr>
        <w:t>,</w:t>
      </w:r>
      <w:r w:rsidR="003F2038" w:rsidRPr="00A17486">
        <w:rPr>
          <w:rStyle w:val="FootnoteReference"/>
          <w:rFonts w:ascii="Georgia" w:hAnsi="Georgia"/>
          <w:bCs/>
        </w:rPr>
        <w:footnoteReference w:id="3"/>
      </w:r>
    </w:p>
    <w:p w14:paraId="573A385F" w14:textId="3A4325A6" w:rsidR="006C7C8B" w:rsidRPr="00A17486" w:rsidRDefault="00F010E0" w:rsidP="006D3F54">
      <w:pPr>
        <w:rPr>
          <w:rFonts w:ascii="Georgia" w:hAnsi="Georgia"/>
          <w:bCs/>
        </w:rPr>
      </w:pPr>
      <w:r w:rsidRPr="00A17486">
        <w:rPr>
          <w:rFonts w:ascii="Georgia" w:hAnsi="Georgia"/>
          <w:b/>
          <w:bCs/>
        </w:rPr>
        <w:t>WHEREAS,</w:t>
      </w:r>
      <w:r w:rsidRPr="00A17486">
        <w:rPr>
          <w:rFonts w:ascii="Georgia" w:hAnsi="Georgia"/>
          <w:bCs/>
        </w:rPr>
        <w:t xml:space="preserve"> food insecurity</w:t>
      </w:r>
      <w:r w:rsidR="003F2038" w:rsidRPr="00A17486">
        <w:rPr>
          <w:rFonts w:ascii="Georgia" w:hAnsi="Georgia"/>
          <w:bCs/>
        </w:rPr>
        <w:t xml:space="preserve"> in childhood</w:t>
      </w:r>
      <w:r w:rsidRPr="00A17486">
        <w:rPr>
          <w:rFonts w:ascii="Georgia" w:hAnsi="Georgia"/>
          <w:bCs/>
        </w:rPr>
        <w:t xml:space="preserve"> </w:t>
      </w:r>
      <w:r w:rsidR="003F2038" w:rsidRPr="00A17486">
        <w:rPr>
          <w:rFonts w:ascii="Georgia" w:hAnsi="Georgia"/>
          <w:bCs/>
        </w:rPr>
        <w:t xml:space="preserve">is associated with </w:t>
      </w:r>
      <w:r w:rsidRPr="00A17486">
        <w:rPr>
          <w:rFonts w:ascii="Georgia" w:hAnsi="Georgia"/>
          <w:bCs/>
        </w:rPr>
        <w:t>poor overall health status, low birth weight, some birth defects, iron deficiency anemia, asthma, poor oral health, developmental risk, mental health and behavioral problems, and poor educational outcomes;</w:t>
      </w:r>
      <w:r w:rsidR="001D0331" w:rsidRPr="00903596">
        <w:rPr>
          <w:rStyle w:val="FootnoteReference"/>
          <w:rFonts w:ascii="Georgia" w:hAnsi="Georgia"/>
          <w:bCs/>
        </w:rPr>
        <w:footnoteReference w:id="4"/>
      </w:r>
      <w:r w:rsidR="001D0331" w:rsidRPr="00903596">
        <w:rPr>
          <w:rFonts w:ascii="Georgia" w:hAnsi="Georgia"/>
          <w:bCs/>
          <w:vertAlign w:val="superscript"/>
        </w:rPr>
        <w:t>,</w:t>
      </w:r>
      <w:r w:rsidR="001D0331" w:rsidRPr="00903596">
        <w:rPr>
          <w:rStyle w:val="FootnoteReference"/>
          <w:rFonts w:ascii="Georgia" w:hAnsi="Georgia"/>
          <w:bCs/>
        </w:rPr>
        <w:footnoteReference w:id="5"/>
      </w:r>
    </w:p>
    <w:p w14:paraId="6F91789D" w14:textId="5970D583" w:rsidR="006F535A" w:rsidRPr="00A17486" w:rsidRDefault="006F535A" w:rsidP="006D3F54">
      <w:pPr>
        <w:rPr>
          <w:rFonts w:ascii="Georgia" w:hAnsi="Georgia"/>
          <w:bCs/>
        </w:rPr>
      </w:pPr>
      <w:r w:rsidRPr="00A17486">
        <w:rPr>
          <w:rFonts w:ascii="Georgia" w:hAnsi="Georgia"/>
          <w:b/>
          <w:bCs/>
        </w:rPr>
        <w:t xml:space="preserve">WHEREAS, </w:t>
      </w:r>
      <w:r w:rsidRPr="00A17486">
        <w:rPr>
          <w:rFonts w:ascii="Georgia" w:hAnsi="Georgia"/>
          <w:bCs/>
        </w:rPr>
        <w:t xml:space="preserve">patients experiencing food insecurity </w:t>
      </w:r>
      <w:r w:rsidR="009D7C99" w:rsidRPr="00A17486">
        <w:rPr>
          <w:rFonts w:ascii="Georgia" w:hAnsi="Georgia"/>
          <w:bCs/>
        </w:rPr>
        <w:t xml:space="preserve">– even at low levels - </w:t>
      </w:r>
      <w:r w:rsidRPr="00A17486">
        <w:rPr>
          <w:rFonts w:ascii="Georgia" w:hAnsi="Georgia"/>
          <w:bCs/>
        </w:rPr>
        <w:t xml:space="preserve">may engage in health-compromising </w:t>
      </w:r>
      <w:r w:rsidR="003F2038" w:rsidRPr="00A17486">
        <w:rPr>
          <w:rFonts w:ascii="Georgia" w:hAnsi="Georgia"/>
          <w:bCs/>
        </w:rPr>
        <w:t>coping strategies to stretch limited budgets</w:t>
      </w:r>
      <w:r w:rsidRPr="00A17486">
        <w:rPr>
          <w:rFonts w:ascii="Georgia" w:hAnsi="Georgia"/>
          <w:bCs/>
        </w:rPr>
        <w:t xml:space="preserve">, such as </w:t>
      </w:r>
      <w:r w:rsidR="00260D6A" w:rsidRPr="00A17486">
        <w:rPr>
          <w:rFonts w:ascii="Georgia" w:hAnsi="Georgia"/>
          <w:bCs/>
        </w:rPr>
        <w:t xml:space="preserve">cost-related </w:t>
      </w:r>
      <w:r w:rsidR="003F2038" w:rsidRPr="00A17486">
        <w:rPr>
          <w:rFonts w:ascii="Georgia" w:hAnsi="Georgia"/>
          <w:bCs/>
        </w:rPr>
        <w:t>medication non-adherence</w:t>
      </w:r>
      <w:r w:rsidRPr="00A17486">
        <w:rPr>
          <w:rFonts w:ascii="Georgia" w:hAnsi="Georgia"/>
          <w:bCs/>
        </w:rPr>
        <w:t>, postpon</w:t>
      </w:r>
      <w:r w:rsidR="003F2038" w:rsidRPr="00A17486">
        <w:rPr>
          <w:rFonts w:ascii="Georgia" w:hAnsi="Georgia"/>
          <w:bCs/>
        </w:rPr>
        <w:t>ing</w:t>
      </w:r>
      <w:r w:rsidRPr="00A17486">
        <w:rPr>
          <w:rFonts w:ascii="Georgia" w:hAnsi="Georgia"/>
          <w:bCs/>
        </w:rPr>
        <w:t xml:space="preserve"> preventative or needed medical care, forg</w:t>
      </w:r>
      <w:r w:rsidR="003F2038" w:rsidRPr="00A17486">
        <w:rPr>
          <w:rFonts w:ascii="Georgia" w:hAnsi="Georgia"/>
          <w:bCs/>
        </w:rPr>
        <w:t>ing</w:t>
      </w:r>
      <w:r w:rsidRPr="00A17486">
        <w:rPr>
          <w:rFonts w:ascii="Georgia" w:hAnsi="Georgia"/>
          <w:bCs/>
        </w:rPr>
        <w:t xml:space="preserve"> the foods needed for medical diets, or </w:t>
      </w:r>
      <w:r w:rsidR="003F2038" w:rsidRPr="00A17486">
        <w:rPr>
          <w:rFonts w:ascii="Georgia" w:hAnsi="Georgia"/>
          <w:bCs/>
        </w:rPr>
        <w:t xml:space="preserve">making </w:t>
      </w:r>
      <w:r w:rsidRPr="00A17486">
        <w:rPr>
          <w:rFonts w:ascii="Georgia" w:hAnsi="Georgia"/>
          <w:bCs/>
        </w:rPr>
        <w:t>trade-offs between food and other basic necessi</w:t>
      </w:r>
      <w:r w:rsidR="00260D6A" w:rsidRPr="00A17486">
        <w:rPr>
          <w:rFonts w:ascii="Georgia" w:hAnsi="Georgia"/>
          <w:bCs/>
        </w:rPr>
        <w:t>ties (e.g., housing);</w:t>
      </w:r>
      <w:r w:rsidR="001D0331" w:rsidRPr="00903596">
        <w:rPr>
          <w:rStyle w:val="FootnoteReference"/>
          <w:rFonts w:ascii="Georgia" w:hAnsi="Georgia"/>
          <w:bCs/>
        </w:rPr>
        <w:footnoteReference w:id="6"/>
      </w:r>
      <w:r w:rsidR="001D0331" w:rsidRPr="00903596">
        <w:rPr>
          <w:rFonts w:ascii="Georgia" w:hAnsi="Georgia"/>
          <w:bCs/>
          <w:vertAlign w:val="superscript"/>
        </w:rPr>
        <w:t>,</w:t>
      </w:r>
      <w:r w:rsidR="001D0331" w:rsidRPr="00903596">
        <w:rPr>
          <w:rStyle w:val="FootnoteReference"/>
          <w:rFonts w:ascii="Georgia" w:hAnsi="Georgia"/>
          <w:bCs/>
        </w:rPr>
        <w:footnoteReference w:id="7"/>
      </w:r>
    </w:p>
    <w:p w14:paraId="3ACD12A6" w14:textId="3F8F5D69" w:rsidR="00B12A31" w:rsidRPr="00A17486" w:rsidRDefault="00B12A31" w:rsidP="006D3F54">
      <w:pPr>
        <w:rPr>
          <w:rFonts w:ascii="Georgia" w:hAnsi="Georgia"/>
          <w:bCs/>
        </w:rPr>
      </w:pPr>
      <w:r w:rsidRPr="00A17486">
        <w:rPr>
          <w:rFonts w:ascii="Georgia" w:hAnsi="Georgia"/>
          <w:b/>
          <w:bCs/>
        </w:rPr>
        <w:t>WHEREAS,</w:t>
      </w:r>
      <w:r w:rsidRPr="00A17486">
        <w:rPr>
          <w:rFonts w:ascii="Georgia" w:hAnsi="Georgia"/>
          <w:bCs/>
        </w:rPr>
        <w:t xml:space="preserve"> health-compromising coping </w:t>
      </w:r>
      <w:r w:rsidR="0078431F" w:rsidRPr="00A17486">
        <w:rPr>
          <w:rFonts w:ascii="Georgia" w:hAnsi="Georgia"/>
          <w:bCs/>
        </w:rPr>
        <w:t xml:space="preserve">strategies </w:t>
      </w:r>
      <w:r w:rsidRPr="00A17486">
        <w:rPr>
          <w:rFonts w:ascii="Georgia" w:hAnsi="Georgia"/>
          <w:bCs/>
        </w:rPr>
        <w:t xml:space="preserve">used by patients </w:t>
      </w:r>
      <w:r w:rsidR="0078431F" w:rsidRPr="00A17486">
        <w:rPr>
          <w:rFonts w:ascii="Georgia" w:hAnsi="Georgia"/>
          <w:bCs/>
        </w:rPr>
        <w:t xml:space="preserve">struggling with food insecurity as well as food insecurity itself </w:t>
      </w:r>
      <w:r w:rsidRPr="00A17486">
        <w:rPr>
          <w:rFonts w:ascii="Georgia" w:hAnsi="Georgia"/>
          <w:bCs/>
        </w:rPr>
        <w:t>can exacerbate disease, compromise health, increase physician encounters, increase ER visits, and increase hospitalizations;</w:t>
      </w:r>
      <w:r w:rsidR="001D0331" w:rsidRPr="00903596">
        <w:rPr>
          <w:rStyle w:val="FootnoteReference"/>
          <w:rFonts w:ascii="Georgia" w:hAnsi="Georgia"/>
          <w:bCs/>
        </w:rPr>
        <w:footnoteReference w:id="8"/>
      </w:r>
      <w:r w:rsidR="001D0331" w:rsidRPr="00903596">
        <w:rPr>
          <w:rFonts w:ascii="Georgia" w:hAnsi="Georgia"/>
          <w:bCs/>
          <w:vertAlign w:val="superscript"/>
        </w:rPr>
        <w:t>,</w:t>
      </w:r>
      <w:r w:rsidR="001D0331" w:rsidRPr="00903596">
        <w:rPr>
          <w:rStyle w:val="FootnoteReference"/>
          <w:rFonts w:ascii="Georgia" w:hAnsi="Georgia"/>
          <w:bCs/>
        </w:rPr>
        <w:footnoteReference w:id="9"/>
      </w:r>
    </w:p>
    <w:p w14:paraId="68514EA2" w14:textId="6CC580B0" w:rsidR="00295C9F" w:rsidRPr="00A17486" w:rsidRDefault="00295C9F" w:rsidP="006D3F54">
      <w:pPr>
        <w:rPr>
          <w:rFonts w:ascii="Georgia" w:hAnsi="Georgia"/>
          <w:bCs/>
        </w:rPr>
      </w:pPr>
      <w:r w:rsidRPr="00A17486">
        <w:rPr>
          <w:rFonts w:ascii="Georgia" w:hAnsi="Georgia"/>
          <w:b/>
          <w:bCs/>
        </w:rPr>
        <w:t xml:space="preserve">WHEREAS, </w:t>
      </w:r>
      <w:r w:rsidRPr="00A17486">
        <w:rPr>
          <w:rFonts w:ascii="Georgia" w:hAnsi="Georgia"/>
          <w:bCs/>
        </w:rPr>
        <w:t>food insecurity is associated with some of the most costly and serious health problems in the U.S.</w:t>
      </w:r>
      <w:r w:rsidR="0030231A">
        <w:rPr>
          <w:rFonts w:ascii="Georgia" w:hAnsi="Georgia"/>
          <w:bCs/>
        </w:rPr>
        <w:t xml:space="preserve"> </w:t>
      </w:r>
      <w:r w:rsidR="0078431F" w:rsidRPr="00A17486">
        <w:rPr>
          <w:rFonts w:ascii="Georgia" w:hAnsi="Georgia"/>
          <w:bCs/>
        </w:rPr>
        <w:t xml:space="preserve">the direct and indirect health-related costs of hunger and food insecurity in the U.S. are estimated to be </w:t>
      </w:r>
      <w:r w:rsidRPr="00A17486">
        <w:rPr>
          <w:rFonts w:ascii="Georgia" w:hAnsi="Georgia"/>
          <w:bCs/>
        </w:rPr>
        <w:t>$160 billion annually;</w:t>
      </w:r>
      <w:r w:rsidRPr="00A17486">
        <w:rPr>
          <w:rStyle w:val="FootnoteReference"/>
          <w:rFonts w:ascii="Georgia" w:hAnsi="Georgia"/>
          <w:bCs/>
        </w:rPr>
        <w:footnoteReference w:id="10"/>
      </w:r>
    </w:p>
    <w:p w14:paraId="12427F03" w14:textId="77777777" w:rsidR="00D757DA" w:rsidRPr="00A17486" w:rsidRDefault="00D757DA" w:rsidP="006D3F54">
      <w:pPr>
        <w:rPr>
          <w:rFonts w:ascii="Georgia" w:hAnsi="Georgia"/>
          <w:bCs/>
        </w:rPr>
      </w:pPr>
      <w:r w:rsidRPr="00A17486">
        <w:rPr>
          <w:rFonts w:ascii="Georgia" w:hAnsi="Georgia"/>
          <w:b/>
          <w:bCs/>
        </w:rPr>
        <w:t xml:space="preserve">WHEREAS, </w:t>
      </w:r>
      <w:r w:rsidRPr="00A17486">
        <w:rPr>
          <w:rFonts w:ascii="Georgia" w:hAnsi="Georgia"/>
          <w:bCs/>
        </w:rPr>
        <w:t xml:space="preserve">patients experiencing food insecurity may be difficult to identify; </w:t>
      </w:r>
    </w:p>
    <w:p w14:paraId="1C0F479F" w14:textId="6FE6E05D" w:rsidR="00E20BD1" w:rsidRPr="009C2B0E" w:rsidRDefault="00E20BD1" w:rsidP="006D3F54">
      <w:pPr>
        <w:rPr>
          <w:rFonts w:ascii="Georgia" w:hAnsi="Georgia"/>
          <w:bCs/>
          <w:vertAlign w:val="superscript"/>
        </w:rPr>
      </w:pPr>
      <w:r w:rsidRPr="00A17486">
        <w:rPr>
          <w:rFonts w:ascii="Georgia" w:hAnsi="Georgia"/>
          <w:b/>
          <w:bCs/>
        </w:rPr>
        <w:t xml:space="preserve">WHEREAS, </w:t>
      </w:r>
      <w:r w:rsidRPr="00A17486">
        <w:rPr>
          <w:rFonts w:ascii="Georgia" w:hAnsi="Georgia"/>
          <w:bCs/>
        </w:rPr>
        <w:t>the federal nutrition programs</w:t>
      </w:r>
      <w:r w:rsidR="006C6C06" w:rsidRPr="00A17486">
        <w:rPr>
          <w:rFonts w:ascii="Georgia" w:hAnsi="Georgia"/>
          <w:bCs/>
        </w:rPr>
        <w:t xml:space="preserve"> </w:t>
      </w:r>
      <w:r w:rsidRPr="00A17486">
        <w:rPr>
          <w:rFonts w:ascii="Georgia" w:hAnsi="Georgia"/>
          <w:bCs/>
        </w:rPr>
        <w:t>—</w:t>
      </w:r>
      <w:r w:rsidR="009D7C99" w:rsidRPr="00A17486">
        <w:rPr>
          <w:rFonts w:ascii="Georgia" w:hAnsi="Georgia"/>
          <w:bCs/>
        </w:rPr>
        <w:t xml:space="preserve"> including</w:t>
      </w:r>
      <w:r w:rsidR="006C6C06" w:rsidRPr="00A17486">
        <w:rPr>
          <w:rFonts w:ascii="Georgia" w:hAnsi="Georgia"/>
          <w:bCs/>
        </w:rPr>
        <w:t xml:space="preserve"> </w:t>
      </w:r>
      <w:r w:rsidRPr="00A17486">
        <w:rPr>
          <w:rFonts w:ascii="Georgia" w:hAnsi="Georgia"/>
          <w:bCs/>
        </w:rPr>
        <w:t>the Supplemental Nutrition Assistance Program (SNAP), the S</w:t>
      </w:r>
      <w:r w:rsidR="0078431F" w:rsidRPr="00A17486">
        <w:rPr>
          <w:rFonts w:ascii="Georgia" w:hAnsi="Georgia"/>
          <w:bCs/>
        </w:rPr>
        <w:t>pecial S</w:t>
      </w:r>
      <w:r w:rsidRPr="00A17486">
        <w:rPr>
          <w:rFonts w:ascii="Georgia" w:hAnsi="Georgia"/>
          <w:bCs/>
        </w:rPr>
        <w:t xml:space="preserve">upplemental Nutrition Program for Women, Infants, and </w:t>
      </w:r>
      <w:r w:rsidRPr="00A17486">
        <w:rPr>
          <w:rFonts w:ascii="Georgia" w:hAnsi="Georgia"/>
          <w:bCs/>
        </w:rPr>
        <w:lastRenderedPageBreak/>
        <w:t>Children (WIC), school breakfast and lunch</w:t>
      </w:r>
      <w:r w:rsidR="0078431F" w:rsidRPr="00A17486">
        <w:rPr>
          <w:rFonts w:ascii="Georgia" w:hAnsi="Georgia"/>
          <w:bCs/>
        </w:rPr>
        <w:t xml:space="preserve"> programs</w:t>
      </w:r>
      <w:r w:rsidRPr="00A17486">
        <w:rPr>
          <w:rFonts w:ascii="Georgia" w:hAnsi="Georgia"/>
          <w:bCs/>
        </w:rPr>
        <w:t>, summer and afterschool meals, and the Child and Adult Care Food Program (CACFP)</w:t>
      </w:r>
      <w:r w:rsidR="0078431F" w:rsidRPr="00A17486">
        <w:rPr>
          <w:rFonts w:ascii="Georgia" w:hAnsi="Georgia"/>
          <w:bCs/>
        </w:rPr>
        <w:t xml:space="preserve"> – are </w:t>
      </w:r>
      <w:r w:rsidRPr="00A17486">
        <w:rPr>
          <w:rFonts w:ascii="Georgia" w:hAnsi="Georgia"/>
          <w:bCs/>
        </w:rPr>
        <w:t xml:space="preserve">key </w:t>
      </w:r>
      <w:r w:rsidR="00206EA5" w:rsidRPr="00A17486">
        <w:rPr>
          <w:rFonts w:ascii="Georgia" w:hAnsi="Georgia"/>
          <w:bCs/>
        </w:rPr>
        <w:t>health interventions and supports for those experiencing food insecurity or at-risk for food insecurity;</w:t>
      </w:r>
      <w:r w:rsidR="00206EA5" w:rsidRPr="00A17486">
        <w:rPr>
          <w:rStyle w:val="FootnoteReference"/>
          <w:rFonts w:ascii="Georgia" w:hAnsi="Georgia"/>
          <w:bCs/>
        </w:rPr>
        <w:footnoteReference w:id="11"/>
      </w:r>
      <w:r w:rsidR="001D0331" w:rsidRPr="00A17486">
        <w:rPr>
          <w:rStyle w:val="FootnoteReference"/>
          <w:rFonts w:ascii="Georgia" w:hAnsi="Georgia"/>
          <w:bCs/>
        </w:rPr>
        <w:t>,</w:t>
      </w:r>
      <w:r w:rsidR="001D0331" w:rsidRPr="00A17486">
        <w:rPr>
          <w:rStyle w:val="FootnoteReference"/>
          <w:rFonts w:ascii="Georgia" w:hAnsi="Georgia"/>
          <w:bCs/>
        </w:rPr>
        <w:footnoteReference w:id="12"/>
      </w:r>
      <w:r w:rsidR="001D0331" w:rsidRPr="00A17486">
        <w:rPr>
          <w:rFonts w:ascii="Georgia" w:hAnsi="Georgia"/>
          <w:bCs/>
          <w:vertAlign w:val="superscript"/>
        </w:rPr>
        <w:t>,</w:t>
      </w:r>
      <w:r w:rsidR="001D0331" w:rsidRPr="009C2B0E">
        <w:rPr>
          <w:rStyle w:val="FootnoteReference"/>
          <w:rFonts w:ascii="Georgia" w:hAnsi="Georgia" w:cs="Tahoma"/>
        </w:rPr>
        <w:footnoteReference w:id="13"/>
      </w:r>
    </w:p>
    <w:p w14:paraId="2C2D9B91" w14:textId="5F41587D" w:rsidR="00CA3F39" w:rsidRPr="00A17486" w:rsidRDefault="006C6C06" w:rsidP="00CA3F39">
      <w:pPr>
        <w:rPr>
          <w:rFonts w:ascii="Georgia" w:hAnsi="Georgia"/>
          <w:bCs/>
        </w:rPr>
      </w:pPr>
      <w:r w:rsidRPr="009C2B0E">
        <w:rPr>
          <w:rFonts w:ascii="Georgia" w:hAnsi="Georgia"/>
          <w:b/>
          <w:bCs/>
        </w:rPr>
        <w:t>R</w:t>
      </w:r>
      <w:r w:rsidR="00CA3F39" w:rsidRPr="00A17486">
        <w:rPr>
          <w:rFonts w:ascii="Georgia" w:hAnsi="Georgia"/>
          <w:b/>
          <w:bCs/>
        </w:rPr>
        <w:t>ESOLVED,</w:t>
      </w:r>
      <w:r w:rsidR="00CA3F39" w:rsidRPr="00A17486">
        <w:rPr>
          <w:rFonts w:ascii="Georgia" w:hAnsi="Georgia"/>
          <w:bCs/>
        </w:rPr>
        <w:t xml:space="preserve"> that the American Academy of F</w:t>
      </w:r>
      <w:r w:rsidR="00826FD5" w:rsidRPr="00A17486">
        <w:rPr>
          <w:rFonts w:ascii="Georgia" w:hAnsi="Georgia"/>
          <w:bCs/>
        </w:rPr>
        <w:t>amily Physicians (AAFP) will support</w:t>
      </w:r>
      <w:r w:rsidR="00CA3F39" w:rsidRPr="00A17486">
        <w:rPr>
          <w:rFonts w:ascii="Georgia" w:hAnsi="Georgia"/>
          <w:bCs/>
        </w:rPr>
        <w:t xml:space="preserve"> efforts to universally s</w:t>
      </w:r>
      <w:r w:rsidR="00F84284" w:rsidRPr="00A17486">
        <w:rPr>
          <w:rFonts w:ascii="Georgia" w:hAnsi="Georgia"/>
          <w:bCs/>
        </w:rPr>
        <w:t>creen</w:t>
      </w:r>
      <w:r w:rsidR="00FF304F" w:rsidRPr="00A17486">
        <w:rPr>
          <w:rFonts w:ascii="Georgia" w:hAnsi="Georgia"/>
          <w:bCs/>
        </w:rPr>
        <w:t xml:space="preserve"> patients </w:t>
      </w:r>
      <w:r w:rsidR="00CA3F39" w:rsidRPr="00A17486">
        <w:rPr>
          <w:rFonts w:ascii="Georgia" w:hAnsi="Georgia"/>
          <w:bCs/>
        </w:rPr>
        <w:t xml:space="preserve">for food insecurity, using tools like the </w:t>
      </w:r>
      <w:r w:rsidR="0078431F" w:rsidRPr="00A17486">
        <w:rPr>
          <w:rFonts w:ascii="Georgia" w:hAnsi="Georgia"/>
          <w:bCs/>
        </w:rPr>
        <w:t xml:space="preserve">validated </w:t>
      </w:r>
      <w:r w:rsidR="00CA3F39" w:rsidRPr="00A17486">
        <w:rPr>
          <w:rFonts w:ascii="Georgia" w:hAnsi="Georgia"/>
          <w:bCs/>
        </w:rPr>
        <w:t>Hunger Vital Sign</w:t>
      </w:r>
      <w:r w:rsidR="0078431F" w:rsidRPr="00A17486">
        <w:rPr>
          <w:rFonts w:ascii="Georgia" w:hAnsi="Georgia"/>
          <w:bCs/>
        </w:rPr>
        <w:t>™</w:t>
      </w:r>
      <w:r w:rsidR="00826FD5" w:rsidRPr="00A17486">
        <w:rPr>
          <w:rFonts w:ascii="Georgia" w:hAnsi="Georgia"/>
          <w:bCs/>
        </w:rPr>
        <w:t>,</w:t>
      </w:r>
      <w:r w:rsidR="001D0331" w:rsidRPr="001D0331">
        <w:rPr>
          <w:rFonts w:ascii="Georgia" w:hAnsi="Georgia"/>
          <w:bCs/>
          <w:vertAlign w:val="superscript"/>
        </w:rPr>
        <w:footnoteReference w:id="14"/>
      </w:r>
      <w:r w:rsidR="001D0331">
        <w:rPr>
          <w:rFonts w:ascii="Georgia" w:hAnsi="Georgia"/>
          <w:bCs/>
          <w:vertAlign w:val="superscript"/>
        </w:rPr>
        <w:t>,</w:t>
      </w:r>
      <w:r w:rsidR="001D0331" w:rsidRPr="001D0331">
        <w:rPr>
          <w:rFonts w:ascii="Georgia" w:hAnsi="Georgia"/>
          <w:bCs/>
          <w:vertAlign w:val="superscript"/>
        </w:rPr>
        <w:footnoteReference w:id="15"/>
      </w:r>
      <w:r w:rsidR="001D0331" w:rsidRPr="001D0331">
        <w:rPr>
          <w:rFonts w:ascii="Georgia" w:hAnsi="Georgia"/>
          <w:bCs/>
        </w:rPr>
        <w:t xml:space="preserve"> </w:t>
      </w:r>
      <w:r w:rsidR="00826FD5" w:rsidRPr="00A17486">
        <w:rPr>
          <w:rFonts w:ascii="Georgia" w:hAnsi="Georgia"/>
          <w:bCs/>
        </w:rPr>
        <w:t>and connect patients to federal nutrition programs and resources</w:t>
      </w:r>
      <w:r w:rsidR="00CA3F39" w:rsidRPr="00A17486">
        <w:rPr>
          <w:rFonts w:ascii="Georgia" w:hAnsi="Georgia"/>
          <w:bCs/>
        </w:rPr>
        <w:t>;</w:t>
      </w:r>
      <w:r w:rsidR="00826FD5" w:rsidRPr="00A17486">
        <w:rPr>
          <w:rFonts w:ascii="Georgia" w:hAnsi="Georgia"/>
          <w:bCs/>
        </w:rPr>
        <w:t xml:space="preserve"> </w:t>
      </w:r>
    </w:p>
    <w:p w14:paraId="6CB5CE28" w14:textId="68ECADFE" w:rsidR="00133227" w:rsidRPr="00A17486" w:rsidRDefault="00822618" w:rsidP="006D3F54">
      <w:pPr>
        <w:rPr>
          <w:rFonts w:ascii="Georgia" w:hAnsi="Georgia"/>
          <w:bCs/>
        </w:rPr>
      </w:pPr>
      <w:r w:rsidRPr="00A17486">
        <w:rPr>
          <w:rFonts w:ascii="Georgia" w:hAnsi="Georgia"/>
          <w:b/>
          <w:bCs/>
        </w:rPr>
        <w:t>RESOLVED,</w:t>
      </w:r>
      <w:r w:rsidRPr="00A17486">
        <w:rPr>
          <w:rFonts w:ascii="Georgia" w:hAnsi="Georgia"/>
          <w:bCs/>
        </w:rPr>
        <w:t xml:space="preserve"> that the American Academy of Family Physicians (AAFP) </w:t>
      </w:r>
      <w:r w:rsidR="00826FD5" w:rsidRPr="00A17486">
        <w:rPr>
          <w:rFonts w:ascii="Georgia" w:hAnsi="Georgia"/>
          <w:bCs/>
        </w:rPr>
        <w:t>will advocate</w:t>
      </w:r>
      <w:r w:rsidR="00583FA3" w:rsidRPr="00A17486">
        <w:rPr>
          <w:rFonts w:ascii="Georgia" w:hAnsi="Georgia"/>
        </w:rPr>
        <w:t xml:space="preserve"> for </w:t>
      </w:r>
      <w:r w:rsidRPr="00A17486">
        <w:rPr>
          <w:rFonts w:ascii="Georgia" w:hAnsi="Georgia"/>
        </w:rPr>
        <w:t>a strong and effective national nutrition safety net for vulnerable, low-income individuals by protecting and defending the federal nutrition programs</w:t>
      </w:r>
      <w:r w:rsidR="00583FA3" w:rsidRPr="00A17486">
        <w:rPr>
          <w:rStyle w:val="FootnoteReference"/>
          <w:rFonts w:ascii="Georgia" w:hAnsi="Georgia"/>
        </w:rPr>
        <w:footnoteReference w:id="16"/>
      </w:r>
      <w:r w:rsidRPr="00A17486">
        <w:rPr>
          <w:rFonts w:ascii="Georgia" w:hAnsi="Georgia"/>
        </w:rPr>
        <w:t xml:space="preserve"> from block grants, structural changes, and budget cuts, and by ensuring all people in </w:t>
      </w:r>
      <w:r w:rsidR="006C6C06" w:rsidRPr="00A17486">
        <w:rPr>
          <w:rFonts w:ascii="Georgia" w:hAnsi="Georgia"/>
        </w:rPr>
        <w:t>the U.S.</w:t>
      </w:r>
      <w:r w:rsidRPr="00A17486">
        <w:rPr>
          <w:rFonts w:ascii="Georgia" w:hAnsi="Georgia"/>
        </w:rPr>
        <w:t xml:space="preserve"> have access to the nutrition they need to li</w:t>
      </w:r>
      <w:r w:rsidR="00826FD5" w:rsidRPr="00A17486">
        <w:rPr>
          <w:rFonts w:ascii="Georgia" w:hAnsi="Georgia"/>
        </w:rPr>
        <w:t>ve healthy and productive lives;</w:t>
      </w:r>
    </w:p>
    <w:p w14:paraId="15B2D57C" w14:textId="3CCA7658" w:rsidR="00826FD5" w:rsidRPr="00A17486" w:rsidRDefault="00826FD5" w:rsidP="00826FD5">
      <w:pPr>
        <w:rPr>
          <w:rFonts w:ascii="Georgia" w:hAnsi="Georgia"/>
          <w:bCs/>
        </w:rPr>
      </w:pPr>
      <w:r w:rsidRPr="00A17486">
        <w:rPr>
          <w:rFonts w:ascii="Georgia" w:hAnsi="Georgia"/>
          <w:b/>
          <w:bCs/>
        </w:rPr>
        <w:t>RESOLVED,</w:t>
      </w:r>
      <w:r w:rsidRPr="00A17486">
        <w:rPr>
          <w:rFonts w:ascii="Georgia" w:hAnsi="Georgia"/>
          <w:bCs/>
        </w:rPr>
        <w:t xml:space="preserve"> that the American Academy of Family Physicians (AAFP) will issue a policy statement to educate members on the health implications of food insecurity, health benefits of the federal nutrition programs, promising interventions to address food insecurity in health care settings, and </w:t>
      </w:r>
      <w:r w:rsidR="0078431F" w:rsidRPr="00A17486">
        <w:rPr>
          <w:rFonts w:ascii="Georgia" w:hAnsi="Georgia"/>
          <w:bCs/>
        </w:rPr>
        <w:t xml:space="preserve">advocacy </w:t>
      </w:r>
      <w:r w:rsidRPr="00A17486">
        <w:rPr>
          <w:rFonts w:ascii="Georgia" w:hAnsi="Georgia"/>
          <w:bCs/>
        </w:rPr>
        <w:t>opportunities to address food insecurity at the local, state, and national level.</w:t>
      </w:r>
    </w:p>
    <w:p w14:paraId="08B4C0C1" w14:textId="77777777" w:rsidR="009B5BCB" w:rsidRPr="00583FA3" w:rsidRDefault="009B5BCB" w:rsidP="00BF3283">
      <w:pPr>
        <w:rPr>
          <w:rFonts w:ascii="Georgia" w:eastAsia="Times New Roman" w:hAnsi="Georgia" w:cs="Arial"/>
          <w:color w:val="333333"/>
          <w:sz w:val="24"/>
          <w:szCs w:val="24"/>
        </w:rPr>
      </w:pPr>
    </w:p>
    <w:sectPr w:rsidR="009B5BCB" w:rsidRPr="00583FA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1E42D" w14:textId="77777777" w:rsidR="00A418E2" w:rsidRDefault="00A418E2" w:rsidP="006B2C69">
      <w:pPr>
        <w:spacing w:after="0" w:line="240" w:lineRule="auto"/>
      </w:pPr>
      <w:r>
        <w:separator/>
      </w:r>
    </w:p>
  </w:endnote>
  <w:endnote w:type="continuationSeparator" w:id="0">
    <w:p w14:paraId="029D31BD" w14:textId="77777777" w:rsidR="00A418E2" w:rsidRDefault="00A418E2" w:rsidP="006B2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827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B8733F" w14:textId="77777777" w:rsidR="006B2C69" w:rsidRDefault="006B2C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10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2A2AFB" w14:textId="77777777" w:rsidR="006B2C69" w:rsidRDefault="006B2C6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20838" w14:textId="77777777" w:rsidR="00A418E2" w:rsidRDefault="00A418E2" w:rsidP="006B2C69">
      <w:pPr>
        <w:spacing w:after="0" w:line="240" w:lineRule="auto"/>
      </w:pPr>
      <w:r>
        <w:separator/>
      </w:r>
    </w:p>
  </w:footnote>
  <w:footnote w:type="continuationSeparator" w:id="0">
    <w:p w14:paraId="10535E05" w14:textId="77777777" w:rsidR="00A418E2" w:rsidRDefault="00A418E2" w:rsidP="006B2C69">
      <w:pPr>
        <w:spacing w:after="0" w:line="240" w:lineRule="auto"/>
      </w:pPr>
      <w:r>
        <w:continuationSeparator/>
      </w:r>
    </w:p>
  </w:footnote>
  <w:footnote w:id="1">
    <w:p w14:paraId="6514F60F" w14:textId="04C92121" w:rsidR="006C6C06" w:rsidRPr="009C2B0E" w:rsidRDefault="006C6C06">
      <w:pPr>
        <w:pStyle w:val="FootnoteText"/>
        <w:rPr>
          <w:rFonts w:ascii="Georgia" w:hAnsi="Georgia"/>
          <w:sz w:val="16"/>
          <w:szCs w:val="16"/>
        </w:rPr>
      </w:pPr>
      <w:r w:rsidRPr="009C2B0E">
        <w:rPr>
          <w:rStyle w:val="FootnoteReference"/>
          <w:rFonts w:ascii="Georgia" w:hAnsi="Georgia"/>
          <w:sz w:val="16"/>
          <w:szCs w:val="16"/>
        </w:rPr>
        <w:footnoteRef/>
      </w:r>
      <w:r w:rsidRPr="009C2B0E">
        <w:rPr>
          <w:rFonts w:ascii="Georgia" w:hAnsi="Georgia"/>
          <w:sz w:val="16"/>
          <w:szCs w:val="16"/>
        </w:rPr>
        <w:t xml:space="preserve"> </w:t>
      </w:r>
      <w:r w:rsidR="00DE7C65" w:rsidRPr="00A17486">
        <w:rPr>
          <w:rFonts w:ascii="Georgia" w:hAnsi="Georgia"/>
          <w:sz w:val="16"/>
          <w:szCs w:val="16"/>
        </w:rPr>
        <w:t xml:space="preserve">Coleman-Jensen, A., Rabbitt, M. P., Gregory, C. A., &amp; Singh, A. (2016). Household food security in the United States in 2015. </w:t>
      </w:r>
      <w:r w:rsidR="00DE7C65" w:rsidRPr="009C2B0E">
        <w:rPr>
          <w:rFonts w:ascii="Georgia" w:hAnsi="Georgia"/>
          <w:i/>
          <w:sz w:val="16"/>
          <w:szCs w:val="16"/>
        </w:rPr>
        <w:t>Economic Research Report</w:t>
      </w:r>
      <w:r w:rsidR="00DE7C65" w:rsidRPr="00A17486">
        <w:rPr>
          <w:rFonts w:ascii="Georgia" w:hAnsi="Georgia"/>
          <w:sz w:val="16"/>
          <w:szCs w:val="16"/>
        </w:rPr>
        <w:t xml:space="preserve">, 215. Washington, DC: U.S. Department of Agriculture, Economic Research Service.  </w:t>
      </w:r>
    </w:p>
  </w:footnote>
  <w:footnote w:id="2">
    <w:p w14:paraId="769C7890" w14:textId="5D9638E3" w:rsidR="006C7C8B" w:rsidRPr="009C2B0E" w:rsidRDefault="006C7C8B">
      <w:pPr>
        <w:pStyle w:val="FootnoteText"/>
        <w:rPr>
          <w:rFonts w:ascii="Georgia" w:hAnsi="Georgia"/>
          <w:sz w:val="16"/>
          <w:szCs w:val="16"/>
        </w:rPr>
      </w:pPr>
      <w:r w:rsidRPr="009C2B0E">
        <w:rPr>
          <w:rStyle w:val="FootnoteReference"/>
          <w:rFonts w:ascii="Georgia" w:hAnsi="Georgia"/>
          <w:sz w:val="16"/>
          <w:szCs w:val="16"/>
        </w:rPr>
        <w:footnoteRef/>
      </w:r>
      <w:r w:rsidRPr="009C2B0E">
        <w:rPr>
          <w:rFonts w:ascii="Georgia" w:hAnsi="Georgia"/>
          <w:sz w:val="16"/>
          <w:szCs w:val="16"/>
        </w:rPr>
        <w:t xml:space="preserve"> Gunders</w:t>
      </w:r>
      <w:r w:rsidR="001D0331" w:rsidRPr="00A17486">
        <w:rPr>
          <w:rFonts w:ascii="Georgia" w:hAnsi="Georgia"/>
          <w:sz w:val="16"/>
          <w:szCs w:val="16"/>
        </w:rPr>
        <w:t>e</w:t>
      </w:r>
      <w:r w:rsidRPr="009C2B0E">
        <w:rPr>
          <w:rFonts w:ascii="Georgia" w:hAnsi="Georgia"/>
          <w:sz w:val="16"/>
          <w:szCs w:val="16"/>
        </w:rPr>
        <w:t>n</w:t>
      </w:r>
      <w:r w:rsidR="001D0331" w:rsidRPr="00A17486">
        <w:rPr>
          <w:rFonts w:ascii="Georgia" w:hAnsi="Georgia"/>
          <w:sz w:val="16"/>
          <w:szCs w:val="16"/>
        </w:rPr>
        <w:t xml:space="preserve">, C., &amp; Ziliak, J. P. (2015). Food insecurity and health outcomes. </w:t>
      </w:r>
      <w:r w:rsidRPr="009C2B0E">
        <w:rPr>
          <w:rFonts w:ascii="Georgia" w:hAnsi="Georgia"/>
          <w:i/>
          <w:sz w:val="16"/>
          <w:szCs w:val="16"/>
        </w:rPr>
        <w:t>Health Affairs</w:t>
      </w:r>
      <w:r w:rsidRPr="009C2B0E">
        <w:rPr>
          <w:rFonts w:ascii="Georgia" w:hAnsi="Georgia"/>
          <w:sz w:val="16"/>
          <w:szCs w:val="16"/>
        </w:rPr>
        <w:t xml:space="preserve">, </w:t>
      </w:r>
      <w:r w:rsidR="001D0331" w:rsidRPr="00A17486">
        <w:rPr>
          <w:rFonts w:ascii="Georgia" w:hAnsi="Georgia"/>
          <w:sz w:val="16"/>
          <w:szCs w:val="16"/>
        </w:rPr>
        <w:t>34(11), 1830-1839.</w:t>
      </w:r>
    </w:p>
  </w:footnote>
  <w:footnote w:id="3">
    <w:p w14:paraId="144A12FD" w14:textId="0DB265AF" w:rsidR="003F2038" w:rsidRPr="009C2B0E" w:rsidRDefault="003F2038" w:rsidP="001D0331">
      <w:pPr>
        <w:pStyle w:val="FootnoteText"/>
        <w:rPr>
          <w:rFonts w:ascii="Georgia" w:hAnsi="Georgia"/>
          <w:sz w:val="16"/>
          <w:szCs w:val="16"/>
        </w:rPr>
      </w:pPr>
      <w:r w:rsidRPr="009C2B0E">
        <w:rPr>
          <w:rStyle w:val="FootnoteReference"/>
          <w:rFonts w:ascii="Georgia" w:hAnsi="Georgia"/>
          <w:sz w:val="16"/>
          <w:szCs w:val="16"/>
        </w:rPr>
        <w:footnoteRef/>
      </w:r>
      <w:r w:rsidRPr="009C2B0E">
        <w:rPr>
          <w:rFonts w:ascii="Georgia" w:hAnsi="Georgia"/>
          <w:sz w:val="16"/>
          <w:szCs w:val="16"/>
        </w:rPr>
        <w:t xml:space="preserve"> Hartline-Grafton, </w:t>
      </w:r>
      <w:r w:rsidR="001D0331" w:rsidRPr="00A17486">
        <w:rPr>
          <w:rFonts w:ascii="Georgia" w:hAnsi="Georgia"/>
          <w:sz w:val="16"/>
          <w:szCs w:val="16"/>
        </w:rPr>
        <w:t xml:space="preserve">H. (2013). </w:t>
      </w:r>
      <w:r w:rsidR="001D0331" w:rsidRPr="00A17486">
        <w:rPr>
          <w:rFonts w:ascii="Georgia" w:hAnsi="Georgia"/>
          <w:i/>
          <w:sz w:val="16"/>
          <w:szCs w:val="16"/>
        </w:rPr>
        <w:t>SNAP and Public Health: The Role of the Supplemental Nutrition Assistance Program in Improving the Health and Well</w:t>
      </w:r>
      <w:r w:rsidR="001D0331" w:rsidRPr="00A17486">
        <w:rPr>
          <w:rFonts w:ascii="Cambria Math" w:hAnsi="Cambria Math" w:cs="Cambria Math"/>
          <w:i/>
          <w:sz w:val="16"/>
          <w:szCs w:val="16"/>
        </w:rPr>
        <w:t>‐</w:t>
      </w:r>
      <w:r w:rsidR="001D0331" w:rsidRPr="00A17486">
        <w:rPr>
          <w:rFonts w:ascii="Georgia" w:hAnsi="Georgia"/>
          <w:i/>
          <w:sz w:val="16"/>
          <w:szCs w:val="16"/>
        </w:rPr>
        <w:t>Being of Americans</w:t>
      </w:r>
      <w:r w:rsidR="001D0331" w:rsidRPr="00A17486">
        <w:rPr>
          <w:rFonts w:ascii="Georgia" w:hAnsi="Georgia"/>
          <w:sz w:val="16"/>
          <w:szCs w:val="16"/>
        </w:rPr>
        <w:t>. Washington, DC: Food Research &amp; Action Center.</w:t>
      </w:r>
    </w:p>
  </w:footnote>
  <w:footnote w:id="4">
    <w:p w14:paraId="3315EC2D" w14:textId="77777777" w:rsidR="001D0331" w:rsidRPr="00A17486" w:rsidRDefault="001D0331" w:rsidP="001D0331">
      <w:pPr>
        <w:pStyle w:val="FootnoteText"/>
        <w:rPr>
          <w:rFonts w:ascii="Georgia" w:hAnsi="Georgia"/>
          <w:sz w:val="16"/>
          <w:szCs w:val="16"/>
        </w:rPr>
      </w:pPr>
      <w:r w:rsidRPr="00A17486">
        <w:rPr>
          <w:rStyle w:val="FootnoteReference"/>
          <w:rFonts w:ascii="Georgia" w:hAnsi="Georgia"/>
          <w:sz w:val="16"/>
          <w:szCs w:val="16"/>
        </w:rPr>
        <w:footnoteRef/>
      </w:r>
      <w:r w:rsidRPr="00A17486">
        <w:rPr>
          <w:rFonts w:ascii="Georgia" w:hAnsi="Georgia"/>
          <w:sz w:val="16"/>
          <w:szCs w:val="16"/>
        </w:rPr>
        <w:t xml:space="preserve"> Gundersen, C., &amp; Ziliak, J. P. (2015). Food insecurity and health outcomes. </w:t>
      </w:r>
      <w:r w:rsidRPr="00A17486">
        <w:rPr>
          <w:rFonts w:ascii="Georgia" w:hAnsi="Georgia"/>
          <w:i/>
          <w:sz w:val="16"/>
          <w:szCs w:val="16"/>
        </w:rPr>
        <w:t>Health Affairs</w:t>
      </w:r>
      <w:r w:rsidRPr="00A17486">
        <w:rPr>
          <w:rFonts w:ascii="Georgia" w:hAnsi="Georgia"/>
          <w:sz w:val="16"/>
          <w:szCs w:val="16"/>
        </w:rPr>
        <w:t>, 34(11), 1830-1839.</w:t>
      </w:r>
    </w:p>
  </w:footnote>
  <w:footnote w:id="5">
    <w:p w14:paraId="6B124E7D" w14:textId="77777777" w:rsidR="001D0331" w:rsidRPr="00A17486" w:rsidRDefault="001D0331" w:rsidP="001D0331">
      <w:pPr>
        <w:pStyle w:val="FootnoteText"/>
        <w:rPr>
          <w:rFonts w:ascii="Georgia" w:hAnsi="Georgia"/>
          <w:sz w:val="16"/>
          <w:szCs w:val="16"/>
        </w:rPr>
      </w:pPr>
      <w:r w:rsidRPr="00A17486">
        <w:rPr>
          <w:rStyle w:val="FootnoteReference"/>
          <w:rFonts w:ascii="Georgia" w:hAnsi="Georgia"/>
          <w:sz w:val="16"/>
          <w:szCs w:val="16"/>
        </w:rPr>
        <w:footnoteRef/>
      </w:r>
      <w:r w:rsidRPr="00A17486">
        <w:rPr>
          <w:rFonts w:ascii="Georgia" w:hAnsi="Georgia"/>
          <w:sz w:val="16"/>
          <w:szCs w:val="16"/>
        </w:rPr>
        <w:t xml:space="preserve"> Hartline-Grafton, H. (2013). </w:t>
      </w:r>
      <w:r w:rsidRPr="00A17486">
        <w:rPr>
          <w:rFonts w:ascii="Georgia" w:hAnsi="Georgia"/>
          <w:i/>
          <w:sz w:val="16"/>
          <w:szCs w:val="16"/>
        </w:rPr>
        <w:t>SNAP and Public Health: The Role of the Supplemental Nutrition Assistance Program in Improving the Health and Well</w:t>
      </w:r>
      <w:r w:rsidRPr="00A17486">
        <w:rPr>
          <w:rFonts w:ascii="Cambria Math" w:hAnsi="Cambria Math" w:cs="Cambria Math"/>
          <w:i/>
          <w:sz w:val="16"/>
          <w:szCs w:val="16"/>
        </w:rPr>
        <w:t>‐</w:t>
      </w:r>
      <w:r w:rsidRPr="00A17486">
        <w:rPr>
          <w:rFonts w:ascii="Georgia" w:hAnsi="Georgia"/>
          <w:i/>
          <w:sz w:val="16"/>
          <w:szCs w:val="16"/>
        </w:rPr>
        <w:t>Being of Americans</w:t>
      </w:r>
      <w:r w:rsidRPr="00A17486">
        <w:rPr>
          <w:rFonts w:ascii="Georgia" w:hAnsi="Georgia"/>
          <w:sz w:val="16"/>
          <w:szCs w:val="16"/>
        </w:rPr>
        <w:t>. Washington, DC: Food Research &amp; Action Center.</w:t>
      </w:r>
    </w:p>
  </w:footnote>
  <w:footnote w:id="6">
    <w:p w14:paraId="01333325" w14:textId="77777777" w:rsidR="001D0331" w:rsidRPr="00A17486" w:rsidRDefault="001D0331" w:rsidP="001D0331">
      <w:pPr>
        <w:pStyle w:val="FootnoteText"/>
        <w:rPr>
          <w:rFonts w:ascii="Georgia" w:hAnsi="Georgia"/>
          <w:sz w:val="16"/>
          <w:szCs w:val="16"/>
        </w:rPr>
      </w:pPr>
      <w:r w:rsidRPr="00A17486">
        <w:rPr>
          <w:rStyle w:val="FootnoteReference"/>
          <w:rFonts w:ascii="Georgia" w:hAnsi="Georgia"/>
          <w:sz w:val="16"/>
          <w:szCs w:val="16"/>
        </w:rPr>
        <w:footnoteRef/>
      </w:r>
      <w:r w:rsidRPr="00A17486">
        <w:rPr>
          <w:rFonts w:ascii="Georgia" w:hAnsi="Georgia"/>
          <w:sz w:val="16"/>
          <w:szCs w:val="16"/>
        </w:rPr>
        <w:t xml:space="preserve"> Gundersen, C., &amp; Ziliak, J. P. (2015). Food insecurity and health outcomes. </w:t>
      </w:r>
      <w:r w:rsidRPr="00A17486">
        <w:rPr>
          <w:rFonts w:ascii="Georgia" w:hAnsi="Georgia"/>
          <w:i/>
          <w:sz w:val="16"/>
          <w:szCs w:val="16"/>
        </w:rPr>
        <w:t>Health Affairs</w:t>
      </w:r>
      <w:r w:rsidRPr="00A17486">
        <w:rPr>
          <w:rFonts w:ascii="Georgia" w:hAnsi="Georgia"/>
          <w:sz w:val="16"/>
          <w:szCs w:val="16"/>
        </w:rPr>
        <w:t>, 34(11), 1830-1839.</w:t>
      </w:r>
    </w:p>
  </w:footnote>
  <w:footnote w:id="7">
    <w:p w14:paraId="243DBE6D" w14:textId="77777777" w:rsidR="001D0331" w:rsidRPr="00A17486" w:rsidRDefault="001D0331" w:rsidP="001D0331">
      <w:pPr>
        <w:pStyle w:val="FootnoteText"/>
        <w:rPr>
          <w:rFonts w:ascii="Georgia" w:hAnsi="Georgia"/>
          <w:sz w:val="16"/>
          <w:szCs w:val="16"/>
        </w:rPr>
      </w:pPr>
      <w:r w:rsidRPr="00A17486">
        <w:rPr>
          <w:rStyle w:val="FootnoteReference"/>
          <w:rFonts w:ascii="Georgia" w:hAnsi="Georgia"/>
          <w:sz w:val="16"/>
          <w:szCs w:val="16"/>
        </w:rPr>
        <w:footnoteRef/>
      </w:r>
      <w:r w:rsidRPr="00A17486">
        <w:rPr>
          <w:rFonts w:ascii="Georgia" w:hAnsi="Georgia"/>
          <w:sz w:val="16"/>
          <w:szCs w:val="16"/>
        </w:rPr>
        <w:t xml:space="preserve"> Hartline-Grafton, H. (2013). </w:t>
      </w:r>
      <w:r w:rsidRPr="00A17486">
        <w:rPr>
          <w:rFonts w:ascii="Georgia" w:hAnsi="Georgia"/>
          <w:i/>
          <w:sz w:val="16"/>
          <w:szCs w:val="16"/>
        </w:rPr>
        <w:t>SNAP and Public Health: The Role of the Supplemental Nutrition Assistance Program in Improving the Health and Well</w:t>
      </w:r>
      <w:r w:rsidRPr="00A17486">
        <w:rPr>
          <w:rFonts w:ascii="Cambria Math" w:hAnsi="Cambria Math" w:cs="Cambria Math"/>
          <w:i/>
          <w:sz w:val="16"/>
          <w:szCs w:val="16"/>
        </w:rPr>
        <w:t>‐</w:t>
      </w:r>
      <w:r w:rsidRPr="00A17486">
        <w:rPr>
          <w:rFonts w:ascii="Georgia" w:hAnsi="Georgia"/>
          <w:i/>
          <w:sz w:val="16"/>
          <w:szCs w:val="16"/>
        </w:rPr>
        <w:t>Being of Americans</w:t>
      </w:r>
      <w:r w:rsidRPr="00A17486">
        <w:rPr>
          <w:rFonts w:ascii="Georgia" w:hAnsi="Georgia"/>
          <w:sz w:val="16"/>
          <w:szCs w:val="16"/>
        </w:rPr>
        <w:t>. Washington, DC: Food Research &amp; Action Center.</w:t>
      </w:r>
    </w:p>
  </w:footnote>
  <w:footnote w:id="8">
    <w:p w14:paraId="1FA6DF77" w14:textId="77777777" w:rsidR="001D0331" w:rsidRPr="00A17486" w:rsidRDefault="001D0331" w:rsidP="001D0331">
      <w:pPr>
        <w:pStyle w:val="FootnoteText"/>
        <w:rPr>
          <w:rFonts w:ascii="Georgia" w:hAnsi="Georgia"/>
          <w:sz w:val="16"/>
          <w:szCs w:val="16"/>
        </w:rPr>
      </w:pPr>
      <w:r w:rsidRPr="00A17486">
        <w:rPr>
          <w:rStyle w:val="FootnoteReference"/>
          <w:rFonts w:ascii="Georgia" w:hAnsi="Georgia"/>
          <w:sz w:val="16"/>
          <w:szCs w:val="16"/>
        </w:rPr>
        <w:footnoteRef/>
      </w:r>
      <w:r w:rsidRPr="00A17486">
        <w:rPr>
          <w:rFonts w:ascii="Georgia" w:hAnsi="Georgia"/>
          <w:sz w:val="16"/>
          <w:szCs w:val="16"/>
        </w:rPr>
        <w:t xml:space="preserve"> Gundersen, C., &amp; Ziliak, J. P. (2015). Food insecurity and health outcomes. </w:t>
      </w:r>
      <w:r w:rsidRPr="00A17486">
        <w:rPr>
          <w:rFonts w:ascii="Georgia" w:hAnsi="Georgia"/>
          <w:i/>
          <w:sz w:val="16"/>
          <w:szCs w:val="16"/>
        </w:rPr>
        <w:t>Health Affairs</w:t>
      </w:r>
      <w:r w:rsidRPr="00A17486">
        <w:rPr>
          <w:rFonts w:ascii="Georgia" w:hAnsi="Georgia"/>
          <w:sz w:val="16"/>
          <w:szCs w:val="16"/>
        </w:rPr>
        <w:t>, 34(11), 1830-1839.</w:t>
      </w:r>
    </w:p>
  </w:footnote>
  <w:footnote w:id="9">
    <w:p w14:paraId="5FD78EB4" w14:textId="77777777" w:rsidR="001D0331" w:rsidRPr="00A17486" w:rsidRDefault="001D0331" w:rsidP="001D0331">
      <w:pPr>
        <w:pStyle w:val="FootnoteText"/>
        <w:rPr>
          <w:rFonts w:ascii="Georgia" w:hAnsi="Georgia"/>
          <w:sz w:val="16"/>
          <w:szCs w:val="16"/>
        </w:rPr>
      </w:pPr>
      <w:r w:rsidRPr="00A17486">
        <w:rPr>
          <w:rStyle w:val="FootnoteReference"/>
          <w:rFonts w:ascii="Georgia" w:hAnsi="Georgia"/>
          <w:sz w:val="16"/>
          <w:szCs w:val="16"/>
        </w:rPr>
        <w:footnoteRef/>
      </w:r>
      <w:r w:rsidRPr="00A17486">
        <w:rPr>
          <w:rFonts w:ascii="Georgia" w:hAnsi="Georgia"/>
          <w:sz w:val="16"/>
          <w:szCs w:val="16"/>
        </w:rPr>
        <w:t xml:space="preserve"> Hartline-Grafton, H. (2013). </w:t>
      </w:r>
      <w:r w:rsidRPr="00A17486">
        <w:rPr>
          <w:rFonts w:ascii="Georgia" w:hAnsi="Georgia"/>
          <w:i/>
          <w:sz w:val="16"/>
          <w:szCs w:val="16"/>
        </w:rPr>
        <w:t>SNAP and Public Health: The Role of the Supplemental Nutrition Assistance Program in Improving the Health and Well</w:t>
      </w:r>
      <w:r w:rsidRPr="00A17486">
        <w:rPr>
          <w:rFonts w:ascii="Cambria Math" w:hAnsi="Cambria Math" w:cs="Cambria Math"/>
          <w:i/>
          <w:sz w:val="16"/>
          <w:szCs w:val="16"/>
        </w:rPr>
        <w:t>‐</w:t>
      </w:r>
      <w:r w:rsidRPr="00A17486">
        <w:rPr>
          <w:rFonts w:ascii="Georgia" w:hAnsi="Georgia"/>
          <w:i/>
          <w:sz w:val="16"/>
          <w:szCs w:val="16"/>
        </w:rPr>
        <w:t>Being of Americans</w:t>
      </w:r>
      <w:r w:rsidRPr="00A17486">
        <w:rPr>
          <w:rFonts w:ascii="Georgia" w:hAnsi="Georgia"/>
          <w:sz w:val="16"/>
          <w:szCs w:val="16"/>
        </w:rPr>
        <w:t>. Washington, DC: Food Research &amp; Action Center.</w:t>
      </w:r>
    </w:p>
  </w:footnote>
  <w:footnote w:id="10">
    <w:p w14:paraId="2A3022B0" w14:textId="77777777" w:rsidR="001D0331" w:rsidRPr="00A17486" w:rsidRDefault="00295C9F" w:rsidP="001D0331">
      <w:pPr>
        <w:pStyle w:val="FootnoteText"/>
        <w:rPr>
          <w:rFonts w:ascii="Georgia" w:hAnsi="Georgia"/>
          <w:sz w:val="16"/>
          <w:szCs w:val="16"/>
        </w:rPr>
      </w:pPr>
      <w:r w:rsidRPr="009C2B0E">
        <w:rPr>
          <w:rStyle w:val="FootnoteReference"/>
          <w:rFonts w:ascii="Georgia" w:hAnsi="Georgia"/>
          <w:sz w:val="16"/>
          <w:szCs w:val="16"/>
        </w:rPr>
        <w:footnoteRef/>
      </w:r>
      <w:r w:rsidRPr="009C2B0E">
        <w:rPr>
          <w:rFonts w:ascii="Georgia" w:hAnsi="Georgia"/>
          <w:sz w:val="16"/>
          <w:szCs w:val="16"/>
        </w:rPr>
        <w:t xml:space="preserve"> </w:t>
      </w:r>
      <w:r w:rsidR="001D0331" w:rsidRPr="00A17486">
        <w:rPr>
          <w:rFonts w:ascii="Georgia" w:hAnsi="Georgia"/>
          <w:sz w:val="16"/>
          <w:szCs w:val="16"/>
        </w:rPr>
        <w:t xml:space="preserve">Cook, J. T., &amp; Poblacion, A. P. (2016). </w:t>
      </w:r>
      <w:r w:rsidR="001D0331" w:rsidRPr="00A17486">
        <w:rPr>
          <w:rFonts w:ascii="Georgia" w:hAnsi="Georgia"/>
          <w:i/>
          <w:sz w:val="16"/>
          <w:szCs w:val="16"/>
        </w:rPr>
        <w:t>Estimating the Health-Related Costs of Food Insecurity and Hunger</w:t>
      </w:r>
      <w:r w:rsidR="001D0331" w:rsidRPr="00A17486">
        <w:rPr>
          <w:rFonts w:ascii="Georgia" w:hAnsi="Georgia"/>
          <w:sz w:val="16"/>
          <w:szCs w:val="16"/>
        </w:rPr>
        <w:t xml:space="preserve">. In </w:t>
      </w:r>
      <w:r w:rsidR="001D0331" w:rsidRPr="00A17486">
        <w:rPr>
          <w:rFonts w:ascii="Georgia" w:hAnsi="Georgia"/>
          <w:i/>
          <w:sz w:val="16"/>
          <w:szCs w:val="16"/>
        </w:rPr>
        <w:t>The Nourishing Effect: Ending Hunger, Improving Health, Reducing Inequality (2016 Hunger Report)</w:t>
      </w:r>
      <w:r w:rsidR="001D0331" w:rsidRPr="00A17486">
        <w:rPr>
          <w:rFonts w:ascii="Georgia" w:hAnsi="Georgia"/>
          <w:sz w:val="16"/>
          <w:szCs w:val="16"/>
        </w:rPr>
        <w:t xml:space="preserve">. Washington, DC: Bread for the World Institute. </w:t>
      </w:r>
    </w:p>
    <w:p w14:paraId="45818A9F" w14:textId="1263FD68" w:rsidR="00295C9F" w:rsidRPr="009C2B0E" w:rsidRDefault="00295C9F" w:rsidP="00295C9F">
      <w:pPr>
        <w:pStyle w:val="FootnoteText"/>
        <w:rPr>
          <w:rFonts w:ascii="Georgia" w:hAnsi="Georgia"/>
          <w:sz w:val="16"/>
          <w:szCs w:val="16"/>
        </w:rPr>
      </w:pPr>
    </w:p>
  </w:footnote>
  <w:footnote w:id="11">
    <w:p w14:paraId="15AFC62A" w14:textId="3E2AE676" w:rsidR="00206EA5" w:rsidRPr="009C2B0E" w:rsidRDefault="00206EA5">
      <w:pPr>
        <w:pStyle w:val="FootnoteText"/>
        <w:rPr>
          <w:rFonts w:ascii="Georgia" w:hAnsi="Georgia"/>
          <w:sz w:val="16"/>
          <w:szCs w:val="16"/>
        </w:rPr>
      </w:pPr>
      <w:r w:rsidRPr="009C2B0E">
        <w:rPr>
          <w:rStyle w:val="FootnoteReference"/>
          <w:rFonts w:ascii="Georgia" w:hAnsi="Georgia"/>
          <w:sz w:val="16"/>
          <w:szCs w:val="16"/>
        </w:rPr>
        <w:footnoteRef/>
      </w:r>
      <w:r w:rsidRPr="009C2B0E">
        <w:rPr>
          <w:rFonts w:ascii="Georgia" w:hAnsi="Georgia"/>
          <w:sz w:val="16"/>
          <w:szCs w:val="16"/>
        </w:rPr>
        <w:t xml:space="preserve"> </w:t>
      </w:r>
      <w:r w:rsidR="001D0331" w:rsidRPr="00A17486">
        <w:rPr>
          <w:rFonts w:ascii="Georgia" w:hAnsi="Georgia"/>
          <w:sz w:val="16"/>
          <w:szCs w:val="16"/>
        </w:rPr>
        <w:t xml:space="preserve">Hartline-Grafton, H. (2016). </w:t>
      </w:r>
      <w:r w:rsidR="001D0331" w:rsidRPr="00A17486">
        <w:rPr>
          <w:rFonts w:ascii="Georgia" w:hAnsi="Georgia"/>
          <w:i/>
          <w:sz w:val="16"/>
          <w:szCs w:val="16"/>
        </w:rPr>
        <w:t>Breakfast for Health</w:t>
      </w:r>
      <w:r w:rsidR="001D0331" w:rsidRPr="00A17486">
        <w:rPr>
          <w:rFonts w:ascii="Georgia" w:hAnsi="Georgia"/>
          <w:sz w:val="16"/>
          <w:szCs w:val="16"/>
        </w:rPr>
        <w:t>. Washington, DC: Food Research &amp; Action Center.</w:t>
      </w:r>
    </w:p>
  </w:footnote>
  <w:footnote w:id="12">
    <w:p w14:paraId="0D3ED45E" w14:textId="77777777" w:rsidR="001D0331" w:rsidRPr="00A17486" w:rsidRDefault="001D0331" w:rsidP="001D0331">
      <w:pPr>
        <w:pStyle w:val="FootnoteText"/>
        <w:rPr>
          <w:rFonts w:ascii="Georgia" w:hAnsi="Georgia"/>
          <w:sz w:val="16"/>
          <w:szCs w:val="16"/>
        </w:rPr>
      </w:pPr>
      <w:r w:rsidRPr="00A17486">
        <w:rPr>
          <w:rStyle w:val="FootnoteReference"/>
          <w:rFonts w:ascii="Georgia" w:hAnsi="Georgia"/>
          <w:sz w:val="16"/>
          <w:szCs w:val="16"/>
        </w:rPr>
        <w:footnoteRef/>
      </w:r>
      <w:r w:rsidRPr="00A17486">
        <w:rPr>
          <w:rFonts w:ascii="Georgia" w:hAnsi="Georgia"/>
          <w:sz w:val="16"/>
          <w:szCs w:val="16"/>
        </w:rPr>
        <w:t xml:space="preserve"> Hartline-Grafton, H. (2013). </w:t>
      </w:r>
      <w:r w:rsidRPr="00A17486">
        <w:rPr>
          <w:rFonts w:ascii="Georgia" w:hAnsi="Georgia"/>
          <w:i/>
          <w:sz w:val="16"/>
          <w:szCs w:val="16"/>
        </w:rPr>
        <w:t>SNAP and Public Health: The Role of the Supplemental Nutrition Assistance Program in Improving the Health and Well</w:t>
      </w:r>
      <w:r w:rsidRPr="00A17486">
        <w:rPr>
          <w:rFonts w:ascii="Cambria Math" w:hAnsi="Cambria Math" w:cs="Cambria Math"/>
          <w:i/>
          <w:sz w:val="16"/>
          <w:szCs w:val="16"/>
        </w:rPr>
        <w:t>‐</w:t>
      </w:r>
      <w:r w:rsidRPr="00A17486">
        <w:rPr>
          <w:rFonts w:ascii="Georgia" w:hAnsi="Georgia"/>
          <w:i/>
          <w:sz w:val="16"/>
          <w:szCs w:val="16"/>
        </w:rPr>
        <w:t>Being of Americans</w:t>
      </w:r>
      <w:r w:rsidRPr="00A17486">
        <w:rPr>
          <w:rFonts w:ascii="Georgia" w:hAnsi="Georgia"/>
          <w:sz w:val="16"/>
          <w:szCs w:val="16"/>
        </w:rPr>
        <w:t>. Washington, DC: Food Research &amp; Action Center.</w:t>
      </w:r>
    </w:p>
  </w:footnote>
  <w:footnote w:id="13">
    <w:p w14:paraId="7507C98B" w14:textId="77777777" w:rsidR="001D0331" w:rsidRPr="009C2B0E" w:rsidRDefault="001D0331" w:rsidP="001D0331">
      <w:pPr>
        <w:pStyle w:val="FootnoteText"/>
        <w:rPr>
          <w:rFonts w:ascii="Georgia" w:hAnsi="Georgia" w:cs="Tahoma"/>
          <w:sz w:val="16"/>
          <w:szCs w:val="16"/>
        </w:rPr>
      </w:pPr>
      <w:r w:rsidRPr="009C2B0E">
        <w:rPr>
          <w:rStyle w:val="FootnoteReference"/>
          <w:rFonts w:ascii="Georgia" w:hAnsi="Georgia" w:cs="Tahoma"/>
          <w:sz w:val="16"/>
          <w:szCs w:val="16"/>
        </w:rPr>
        <w:footnoteRef/>
      </w:r>
      <w:r w:rsidRPr="009C2B0E">
        <w:rPr>
          <w:rFonts w:ascii="Georgia" w:hAnsi="Georgia" w:cs="Tahoma"/>
          <w:sz w:val="16"/>
          <w:szCs w:val="16"/>
        </w:rPr>
        <w:t xml:space="preserve"> American Academy of Pediatrics. (2015). Promoting food security for all children. </w:t>
      </w:r>
      <w:r w:rsidRPr="009C2B0E">
        <w:rPr>
          <w:rFonts w:ascii="Georgia" w:hAnsi="Georgia" w:cs="Tahoma"/>
          <w:i/>
          <w:sz w:val="16"/>
          <w:szCs w:val="16"/>
        </w:rPr>
        <w:t>Pediatrics</w:t>
      </w:r>
      <w:r w:rsidRPr="009C2B0E">
        <w:rPr>
          <w:rFonts w:ascii="Georgia" w:hAnsi="Georgia" w:cs="Tahoma"/>
          <w:sz w:val="16"/>
          <w:szCs w:val="16"/>
        </w:rPr>
        <w:t>, 136(5), e1431-e1438.</w:t>
      </w:r>
    </w:p>
  </w:footnote>
  <w:footnote w:id="14">
    <w:p w14:paraId="0C11C17D" w14:textId="77777777" w:rsidR="001D0331" w:rsidRPr="009C2B0E" w:rsidRDefault="001D0331" w:rsidP="001D0331">
      <w:pPr>
        <w:pStyle w:val="FootnoteText"/>
        <w:rPr>
          <w:rFonts w:ascii="Georgia" w:hAnsi="Georgia" w:cs="Tahoma"/>
          <w:sz w:val="16"/>
          <w:szCs w:val="16"/>
        </w:rPr>
      </w:pPr>
      <w:r w:rsidRPr="009C2B0E">
        <w:rPr>
          <w:rStyle w:val="FootnoteReference"/>
          <w:rFonts w:ascii="Georgia" w:hAnsi="Georgia" w:cs="Tahoma"/>
          <w:sz w:val="16"/>
          <w:szCs w:val="16"/>
        </w:rPr>
        <w:footnoteRef/>
      </w:r>
      <w:r w:rsidRPr="009C2B0E">
        <w:rPr>
          <w:rFonts w:ascii="Georgia" w:hAnsi="Georgia" w:cs="Tahoma"/>
          <w:sz w:val="16"/>
          <w:szCs w:val="16"/>
        </w:rPr>
        <w:t xml:space="preserve"> Hager, E. R., Quigg, A. M, Black, M. M., Coleman, S. M., Heeren, T., Rose-Jacobs, R., Cook, J. T., de Cuba, S. A., Casey, P. H., Chilton, M., Cutts, D. B., Meyers, A. F., &amp; Frank, D. A. (2010). Development and validity of a 2-item screen to identify families at risk for food insecurity. </w:t>
      </w:r>
      <w:r w:rsidRPr="009C2B0E">
        <w:rPr>
          <w:rFonts w:ascii="Georgia" w:hAnsi="Georgia" w:cs="Tahoma"/>
          <w:i/>
          <w:sz w:val="16"/>
          <w:szCs w:val="16"/>
        </w:rPr>
        <w:t>Pediatrics</w:t>
      </w:r>
      <w:r w:rsidRPr="009C2B0E">
        <w:rPr>
          <w:rFonts w:ascii="Georgia" w:hAnsi="Georgia" w:cs="Tahoma"/>
          <w:sz w:val="16"/>
          <w:szCs w:val="16"/>
        </w:rPr>
        <w:t>, 126(1), e26-e32.</w:t>
      </w:r>
    </w:p>
  </w:footnote>
  <w:footnote w:id="15">
    <w:p w14:paraId="203891A8" w14:textId="77777777" w:rsidR="001D0331" w:rsidRPr="009C2B0E" w:rsidRDefault="001D0331" w:rsidP="001D0331">
      <w:pPr>
        <w:pStyle w:val="FootnoteText"/>
        <w:rPr>
          <w:rFonts w:ascii="Georgia" w:hAnsi="Georgia" w:cs="Tahoma"/>
          <w:sz w:val="14"/>
          <w:szCs w:val="14"/>
        </w:rPr>
      </w:pPr>
      <w:r w:rsidRPr="009C2B0E">
        <w:rPr>
          <w:rStyle w:val="FootnoteReference"/>
          <w:rFonts w:ascii="Georgia" w:hAnsi="Georgia" w:cs="Tahoma"/>
          <w:sz w:val="16"/>
          <w:szCs w:val="16"/>
        </w:rPr>
        <w:footnoteRef/>
      </w:r>
      <w:r w:rsidRPr="009C2B0E">
        <w:rPr>
          <w:rFonts w:ascii="Georgia" w:hAnsi="Georgia" w:cs="Tahoma"/>
          <w:sz w:val="16"/>
          <w:szCs w:val="16"/>
        </w:rPr>
        <w:t xml:space="preserve"> Gundersen, C., Engelhard, E. E., Crumbaugh, A. S., &amp; Seligman, H. K. (2017). Brief assessment of food insecurity accurately identifies high-risk US adults. </w:t>
      </w:r>
      <w:r w:rsidRPr="009C2B0E">
        <w:rPr>
          <w:rFonts w:ascii="Georgia" w:hAnsi="Georgia" w:cs="Tahoma"/>
          <w:i/>
          <w:sz w:val="16"/>
          <w:szCs w:val="16"/>
        </w:rPr>
        <w:t>Public Health Nutrition</w:t>
      </w:r>
      <w:r w:rsidRPr="009C2B0E">
        <w:rPr>
          <w:rFonts w:ascii="Georgia" w:hAnsi="Georgia" w:cs="Tahoma"/>
          <w:sz w:val="16"/>
          <w:szCs w:val="16"/>
        </w:rPr>
        <w:t xml:space="preserve">, published online ahead of print. </w:t>
      </w:r>
    </w:p>
  </w:footnote>
  <w:footnote w:id="16">
    <w:p w14:paraId="48612090" w14:textId="1EC7A1C3" w:rsidR="00583FA3" w:rsidRPr="009C2B0E" w:rsidRDefault="00583FA3" w:rsidP="00583FA3">
      <w:pPr>
        <w:rPr>
          <w:rFonts w:ascii="Georgia" w:hAnsi="Georgia"/>
          <w:sz w:val="16"/>
          <w:szCs w:val="16"/>
        </w:rPr>
      </w:pPr>
      <w:r w:rsidRPr="009C2B0E">
        <w:rPr>
          <w:rStyle w:val="FootnoteReference"/>
          <w:rFonts w:ascii="Georgia" w:hAnsi="Georgia"/>
          <w:sz w:val="16"/>
          <w:szCs w:val="16"/>
        </w:rPr>
        <w:footnoteRef/>
      </w:r>
      <w:r w:rsidRPr="009C2B0E">
        <w:rPr>
          <w:rFonts w:ascii="Georgia" w:hAnsi="Georgia"/>
          <w:sz w:val="16"/>
          <w:szCs w:val="16"/>
        </w:rPr>
        <w:t xml:space="preserve"> The federal nutrition programs include</w:t>
      </w:r>
      <w:r w:rsidR="0078431F" w:rsidRPr="009C2B0E">
        <w:rPr>
          <w:rFonts w:ascii="Georgia" w:hAnsi="Georgia"/>
          <w:sz w:val="16"/>
          <w:szCs w:val="16"/>
        </w:rPr>
        <w:t xml:space="preserve"> the following</w:t>
      </w:r>
      <w:r w:rsidRPr="009C2B0E">
        <w:rPr>
          <w:rFonts w:ascii="Georgia" w:hAnsi="Georgia"/>
          <w:sz w:val="16"/>
          <w:szCs w:val="16"/>
        </w:rPr>
        <w:t>:</w:t>
      </w:r>
    </w:p>
    <w:p w14:paraId="606D749B" w14:textId="557158AE" w:rsidR="009D7C99" w:rsidRPr="009C2B0E" w:rsidRDefault="00583FA3" w:rsidP="009C2B0E">
      <w:pPr>
        <w:pStyle w:val="ListParagraph"/>
        <w:numPr>
          <w:ilvl w:val="0"/>
          <w:numId w:val="20"/>
        </w:numPr>
        <w:rPr>
          <w:rFonts w:ascii="Georgia" w:eastAsia="Times New Roman" w:hAnsi="Georgia" w:cs="Arial"/>
          <w:color w:val="333333"/>
          <w:sz w:val="16"/>
          <w:szCs w:val="16"/>
        </w:rPr>
      </w:pPr>
      <w:r w:rsidRPr="009C2B0E">
        <w:rPr>
          <w:rFonts w:ascii="Georgia" w:hAnsi="Georgia"/>
          <w:sz w:val="16"/>
          <w:szCs w:val="16"/>
        </w:rPr>
        <w:t xml:space="preserve">Supplemental Nutrition Assistance Program (SNAP, formerly known as </w:t>
      </w:r>
      <w:r w:rsidR="0078431F" w:rsidRPr="009C2B0E">
        <w:rPr>
          <w:rFonts w:ascii="Georgia" w:hAnsi="Georgia"/>
          <w:sz w:val="16"/>
          <w:szCs w:val="16"/>
        </w:rPr>
        <w:t>F</w:t>
      </w:r>
      <w:r w:rsidRPr="009C2B0E">
        <w:rPr>
          <w:rFonts w:ascii="Georgia" w:hAnsi="Georgia"/>
          <w:sz w:val="16"/>
          <w:szCs w:val="16"/>
        </w:rPr>
        <w:t xml:space="preserve">ood </w:t>
      </w:r>
      <w:r w:rsidR="0078431F" w:rsidRPr="009C2B0E">
        <w:rPr>
          <w:rFonts w:ascii="Georgia" w:hAnsi="Georgia"/>
          <w:sz w:val="16"/>
          <w:szCs w:val="16"/>
        </w:rPr>
        <w:t>S</w:t>
      </w:r>
      <w:r w:rsidRPr="009C2B0E">
        <w:rPr>
          <w:rFonts w:ascii="Georgia" w:hAnsi="Georgia"/>
          <w:sz w:val="16"/>
          <w:szCs w:val="16"/>
        </w:rPr>
        <w:t>tamps);</w:t>
      </w:r>
    </w:p>
    <w:p w14:paraId="44C59A61" w14:textId="73E3A992" w:rsidR="009D7C99" w:rsidRPr="009C2B0E" w:rsidRDefault="00583FA3" w:rsidP="009C2B0E">
      <w:pPr>
        <w:pStyle w:val="ListParagraph"/>
        <w:numPr>
          <w:ilvl w:val="0"/>
          <w:numId w:val="20"/>
        </w:numPr>
        <w:rPr>
          <w:rFonts w:ascii="Georgia" w:eastAsia="Times New Roman" w:hAnsi="Georgia" w:cs="Arial"/>
          <w:color w:val="333333"/>
          <w:sz w:val="16"/>
          <w:szCs w:val="16"/>
        </w:rPr>
      </w:pPr>
      <w:r w:rsidRPr="009C2B0E">
        <w:rPr>
          <w:rFonts w:ascii="Georgia" w:hAnsi="Georgia"/>
          <w:sz w:val="16"/>
          <w:szCs w:val="16"/>
        </w:rPr>
        <w:t xml:space="preserve">National School </w:t>
      </w:r>
      <w:r w:rsidR="0078431F" w:rsidRPr="009C2B0E">
        <w:rPr>
          <w:rFonts w:ascii="Georgia" w:hAnsi="Georgia"/>
          <w:sz w:val="16"/>
          <w:szCs w:val="16"/>
        </w:rPr>
        <w:t xml:space="preserve">Lunch and School </w:t>
      </w:r>
      <w:r w:rsidRPr="009C2B0E">
        <w:rPr>
          <w:rFonts w:ascii="Georgia" w:hAnsi="Georgia"/>
          <w:sz w:val="16"/>
          <w:szCs w:val="16"/>
        </w:rPr>
        <w:t xml:space="preserve">Breakfast programs; </w:t>
      </w:r>
    </w:p>
    <w:p w14:paraId="0999AA74" w14:textId="45E48F15" w:rsidR="009D7C99" w:rsidRPr="009C2B0E" w:rsidRDefault="00583FA3" w:rsidP="009C2B0E">
      <w:pPr>
        <w:pStyle w:val="ListParagraph"/>
        <w:numPr>
          <w:ilvl w:val="0"/>
          <w:numId w:val="20"/>
        </w:numPr>
        <w:rPr>
          <w:rFonts w:ascii="Georgia" w:eastAsia="Times New Roman" w:hAnsi="Georgia" w:cs="Arial"/>
          <w:color w:val="333333"/>
          <w:sz w:val="16"/>
          <w:szCs w:val="16"/>
        </w:rPr>
      </w:pPr>
      <w:r w:rsidRPr="009C2B0E">
        <w:rPr>
          <w:rFonts w:ascii="Georgia" w:hAnsi="Georgia"/>
          <w:sz w:val="16"/>
          <w:szCs w:val="16"/>
        </w:rPr>
        <w:t xml:space="preserve">Child and Adult Care Food Program (CACFP) </w:t>
      </w:r>
      <w:r w:rsidR="0078431F" w:rsidRPr="009C2B0E">
        <w:rPr>
          <w:rFonts w:ascii="Georgia" w:hAnsi="Georgia"/>
          <w:sz w:val="16"/>
          <w:szCs w:val="16"/>
        </w:rPr>
        <w:t>(</w:t>
      </w:r>
      <w:r w:rsidRPr="009C2B0E">
        <w:rPr>
          <w:rFonts w:ascii="Georgia" w:hAnsi="Georgia"/>
          <w:sz w:val="16"/>
          <w:szCs w:val="16"/>
        </w:rPr>
        <w:t xml:space="preserve">that provides nutritious meals for children in child </w:t>
      </w:r>
      <w:r w:rsidRPr="009C2B0E">
        <w:rPr>
          <w:rFonts w:ascii="Georgia" w:hAnsi="Georgia"/>
          <w:sz w:val="16"/>
          <w:szCs w:val="16"/>
        </w:rPr>
        <w:br/>
        <w:t>care, Head Start, and afterschool programs and shelters</w:t>
      </w:r>
      <w:r w:rsidR="00EF660E">
        <w:rPr>
          <w:rFonts w:ascii="Georgia" w:hAnsi="Georgia"/>
          <w:sz w:val="16"/>
          <w:szCs w:val="16"/>
        </w:rPr>
        <w:t xml:space="preserve"> as well as for older adults in </w:t>
      </w:r>
      <w:r w:rsidR="009C2B0E">
        <w:rPr>
          <w:rFonts w:ascii="Georgia" w:hAnsi="Georgia"/>
          <w:sz w:val="16"/>
          <w:szCs w:val="16"/>
        </w:rPr>
        <w:t>qualifying adult day centers</w:t>
      </w:r>
      <w:r w:rsidR="0078431F" w:rsidRPr="009C2B0E">
        <w:rPr>
          <w:rFonts w:ascii="Georgia" w:hAnsi="Georgia"/>
          <w:sz w:val="16"/>
          <w:szCs w:val="16"/>
        </w:rPr>
        <w:t>)</w:t>
      </w:r>
      <w:r w:rsidRPr="009C2B0E">
        <w:rPr>
          <w:rFonts w:ascii="Georgia" w:hAnsi="Georgia"/>
          <w:sz w:val="16"/>
          <w:szCs w:val="16"/>
        </w:rPr>
        <w:t xml:space="preserve">; </w:t>
      </w:r>
    </w:p>
    <w:p w14:paraId="642E98B1" w14:textId="27599A4E" w:rsidR="009D7C99" w:rsidRPr="009C2B0E" w:rsidRDefault="00583FA3" w:rsidP="009C2B0E">
      <w:pPr>
        <w:pStyle w:val="ListParagraph"/>
        <w:numPr>
          <w:ilvl w:val="0"/>
          <w:numId w:val="20"/>
        </w:numPr>
        <w:rPr>
          <w:rFonts w:ascii="Georgia" w:eastAsia="Times New Roman" w:hAnsi="Georgia" w:cs="Arial"/>
          <w:color w:val="333333"/>
          <w:sz w:val="16"/>
          <w:szCs w:val="16"/>
        </w:rPr>
      </w:pPr>
      <w:r w:rsidRPr="009C2B0E">
        <w:rPr>
          <w:rFonts w:ascii="Georgia" w:hAnsi="Georgia"/>
          <w:sz w:val="16"/>
          <w:szCs w:val="16"/>
        </w:rPr>
        <w:t xml:space="preserve">Summer Meals programs; </w:t>
      </w:r>
    </w:p>
    <w:p w14:paraId="3DE93598" w14:textId="2AFCF3CB" w:rsidR="009D7C99" w:rsidRPr="009C2B0E" w:rsidRDefault="00583FA3" w:rsidP="009C2B0E">
      <w:pPr>
        <w:pStyle w:val="ListParagraph"/>
        <w:numPr>
          <w:ilvl w:val="0"/>
          <w:numId w:val="20"/>
        </w:numPr>
        <w:rPr>
          <w:rFonts w:ascii="Georgia" w:eastAsia="Times New Roman" w:hAnsi="Georgia" w:cs="Arial"/>
          <w:color w:val="333333"/>
          <w:sz w:val="16"/>
          <w:szCs w:val="16"/>
        </w:rPr>
      </w:pPr>
      <w:r w:rsidRPr="009C2B0E">
        <w:rPr>
          <w:rFonts w:ascii="Georgia" w:hAnsi="Georgia"/>
          <w:sz w:val="16"/>
          <w:szCs w:val="16"/>
        </w:rPr>
        <w:t xml:space="preserve">Special Supplemental Nutrition Program for Women, Infants, and Children (WIC); </w:t>
      </w:r>
    </w:p>
    <w:p w14:paraId="148F71AC" w14:textId="631A8891" w:rsidR="009D7C99" w:rsidRPr="009C2B0E" w:rsidRDefault="00583FA3" w:rsidP="009C2B0E">
      <w:pPr>
        <w:pStyle w:val="ListParagraph"/>
        <w:numPr>
          <w:ilvl w:val="0"/>
          <w:numId w:val="20"/>
        </w:numPr>
        <w:rPr>
          <w:rFonts w:ascii="Georgia" w:eastAsia="Times New Roman" w:hAnsi="Georgia" w:cs="Arial"/>
          <w:color w:val="333333"/>
          <w:sz w:val="16"/>
          <w:szCs w:val="16"/>
        </w:rPr>
      </w:pPr>
      <w:r w:rsidRPr="009C2B0E">
        <w:rPr>
          <w:rFonts w:ascii="Georgia" w:hAnsi="Georgia"/>
          <w:sz w:val="16"/>
          <w:szCs w:val="16"/>
        </w:rPr>
        <w:t>The Emergency Food Assistance Program (TEFAP)</w:t>
      </w:r>
      <w:r w:rsidR="0078431F" w:rsidRPr="009C2B0E">
        <w:rPr>
          <w:rFonts w:ascii="Georgia" w:hAnsi="Georgia"/>
          <w:sz w:val="16"/>
          <w:szCs w:val="16"/>
        </w:rPr>
        <w:t xml:space="preserve"> (</w:t>
      </w:r>
      <w:r w:rsidRPr="009C2B0E">
        <w:rPr>
          <w:rFonts w:ascii="Georgia" w:hAnsi="Georgia"/>
          <w:sz w:val="16"/>
          <w:szCs w:val="16"/>
        </w:rPr>
        <w:t>which provides commodities to food banks</w:t>
      </w:r>
      <w:r w:rsidR="0078431F" w:rsidRPr="009C2B0E">
        <w:rPr>
          <w:rFonts w:ascii="Georgia" w:hAnsi="Georgia"/>
          <w:sz w:val="16"/>
          <w:szCs w:val="16"/>
        </w:rPr>
        <w:t>)</w:t>
      </w:r>
      <w:r w:rsidRPr="009C2B0E">
        <w:rPr>
          <w:rFonts w:ascii="Georgia" w:hAnsi="Georgia"/>
          <w:sz w:val="16"/>
          <w:szCs w:val="16"/>
        </w:rPr>
        <w:t xml:space="preserve">; </w:t>
      </w:r>
    </w:p>
    <w:p w14:paraId="0C308EE0" w14:textId="04343B19" w:rsidR="009D7C99" w:rsidRPr="009C2B0E" w:rsidRDefault="00583FA3" w:rsidP="009C2B0E">
      <w:pPr>
        <w:pStyle w:val="ListParagraph"/>
        <w:numPr>
          <w:ilvl w:val="0"/>
          <w:numId w:val="20"/>
        </w:numPr>
        <w:rPr>
          <w:rFonts w:ascii="Georgia" w:eastAsia="Times New Roman" w:hAnsi="Georgia" w:cs="Arial"/>
          <w:color w:val="333333"/>
          <w:sz w:val="16"/>
          <w:szCs w:val="16"/>
        </w:rPr>
      </w:pPr>
      <w:r w:rsidRPr="009C2B0E">
        <w:rPr>
          <w:rFonts w:ascii="Georgia" w:hAnsi="Georgia"/>
          <w:sz w:val="16"/>
          <w:szCs w:val="16"/>
        </w:rPr>
        <w:t>Food Distribution Program on Indian Reservations</w:t>
      </w:r>
      <w:r w:rsidR="0078431F" w:rsidRPr="009C2B0E">
        <w:rPr>
          <w:rFonts w:ascii="Georgia" w:hAnsi="Georgia"/>
          <w:sz w:val="16"/>
          <w:szCs w:val="16"/>
        </w:rPr>
        <w:t xml:space="preserve"> (FDPIR)</w:t>
      </w:r>
      <w:r w:rsidRPr="009C2B0E">
        <w:rPr>
          <w:rFonts w:ascii="Georgia" w:hAnsi="Georgia"/>
          <w:sz w:val="16"/>
          <w:szCs w:val="16"/>
        </w:rPr>
        <w:t xml:space="preserve">; and </w:t>
      </w:r>
    </w:p>
    <w:p w14:paraId="512B200F" w14:textId="7E1436CE" w:rsidR="00583FA3" w:rsidRPr="009C2B0E" w:rsidRDefault="0078431F" w:rsidP="009C2B0E">
      <w:pPr>
        <w:pStyle w:val="ListParagraph"/>
        <w:numPr>
          <w:ilvl w:val="0"/>
          <w:numId w:val="20"/>
        </w:numPr>
        <w:rPr>
          <w:rFonts w:ascii="Georgia" w:eastAsia="Times New Roman" w:hAnsi="Georgia" w:cs="Arial"/>
          <w:color w:val="333333"/>
          <w:sz w:val="16"/>
          <w:szCs w:val="16"/>
        </w:rPr>
      </w:pPr>
      <w:r w:rsidRPr="009C2B0E">
        <w:rPr>
          <w:rFonts w:ascii="Georgia" w:hAnsi="Georgia"/>
          <w:sz w:val="16"/>
          <w:szCs w:val="16"/>
        </w:rPr>
        <w:t>Certain n</w:t>
      </w:r>
      <w:r w:rsidR="00583FA3" w:rsidRPr="009C2B0E">
        <w:rPr>
          <w:rFonts w:ascii="Georgia" w:hAnsi="Georgia"/>
          <w:sz w:val="16"/>
          <w:szCs w:val="16"/>
        </w:rPr>
        <w:t xml:space="preserve">utrition programs for the elderly (e.g., the Commodity Supplemental Food Program (CSFP) and </w:t>
      </w:r>
      <w:r w:rsidR="00583FA3" w:rsidRPr="009C2B0E">
        <w:rPr>
          <w:rFonts w:ascii="Georgia" w:hAnsi="Georgia"/>
          <w:sz w:val="16"/>
          <w:szCs w:val="16"/>
        </w:rPr>
        <w:br/>
        <w:t>congregate and home-delivered meals).</w:t>
      </w:r>
      <w:r w:rsidR="00583FA3" w:rsidRPr="009C2B0E">
        <w:rPr>
          <w:rFonts w:ascii="Georgia" w:eastAsia="Times New Roman" w:hAnsi="Georgia" w:cs="Arial"/>
          <w:color w:val="333333"/>
          <w:sz w:val="16"/>
          <w:szCs w:val="16"/>
        </w:rPr>
        <w:t xml:space="preserve"> </w:t>
      </w:r>
    </w:p>
    <w:p w14:paraId="7E79C0ED" w14:textId="77777777" w:rsidR="00583FA3" w:rsidRDefault="00583FA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52306"/>
    <w:multiLevelType w:val="hybridMultilevel"/>
    <w:tmpl w:val="E96EA4A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E1577"/>
    <w:multiLevelType w:val="hybridMultilevel"/>
    <w:tmpl w:val="4F782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13C5E"/>
    <w:multiLevelType w:val="hybridMultilevel"/>
    <w:tmpl w:val="4B427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24E0D"/>
    <w:multiLevelType w:val="hybridMultilevel"/>
    <w:tmpl w:val="5F8AC6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F768B"/>
    <w:multiLevelType w:val="multilevel"/>
    <w:tmpl w:val="11DC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125321"/>
    <w:multiLevelType w:val="multilevel"/>
    <w:tmpl w:val="DBD0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5B55FD"/>
    <w:multiLevelType w:val="multilevel"/>
    <w:tmpl w:val="00D8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63424EB"/>
    <w:multiLevelType w:val="hybridMultilevel"/>
    <w:tmpl w:val="22E294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84C54"/>
    <w:multiLevelType w:val="hybridMultilevel"/>
    <w:tmpl w:val="8884CC54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CF5395"/>
    <w:multiLevelType w:val="hybridMultilevel"/>
    <w:tmpl w:val="6038C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F5933"/>
    <w:multiLevelType w:val="hybridMultilevel"/>
    <w:tmpl w:val="22E294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F227FC"/>
    <w:multiLevelType w:val="multilevel"/>
    <w:tmpl w:val="03146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="Georgia" w:hAnsi="Georgi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E507DC"/>
    <w:multiLevelType w:val="hybridMultilevel"/>
    <w:tmpl w:val="8968DF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D548D1"/>
    <w:multiLevelType w:val="hybridMultilevel"/>
    <w:tmpl w:val="5DBC6266"/>
    <w:lvl w:ilvl="0" w:tplc="040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4">
    <w:nsid w:val="50551A28"/>
    <w:multiLevelType w:val="hybridMultilevel"/>
    <w:tmpl w:val="76700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6F07C7"/>
    <w:multiLevelType w:val="hybridMultilevel"/>
    <w:tmpl w:val="208C1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DF06AF"/>
    <w:multiLevelType w:val="hybridMultilevel"/>
    <w:tmpl w:val="5506279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724461B8"/>
    <w:multiLevelType w:val="multilevel"/>
    <w:tmpl w:val="1AB8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6014CE6"/>
    <w:multiLevelType w:val="hybridMultilevel"/>
    <w:tmpl w:val="B9022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6B1A43"/>
    <w:multiLevelType w:val="hybridMultilevel"/>
    <w:tmpl w:val="7C4AB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15"/>
  </w:num>
  <w:num w:numId="8">
    <w:abstractNumId w:val="2"/>
  </w:num>
  <w:num w:numId="9">
    <w:abstractNumId w:val="14"/>
  </w:num>
  <w:num w:numId="10">
    <w:abstractNumId w:val="1"/>
  </w:num>
  <w:num w:numId="11">
    <w:abstractNumId w:val="18"/>
  </w:num>
  <w:num w:numId="12">
    <w:abstractNumId w:val="19"/>
  </w:num>
  <w:num w:numId="13">
    <w:abstractNumId w:val="9"/>
  </w:num>
  <w:num w:numId="14">
    <w:abstractNumId w:val="5"/>
  </w:num>
  <w:num w:numId="15">
    <w:abstractNumId w:val="0"/>
  </w:num>
  <w:num w:numId="16">
    <w:abstractNumId w:val="12"/>
  </w:num>
  <w:num w:numId="17">
    <w:abstractNumId w:val="13"/>
  </w:num>
  <w:num w:numId="18">
    <w:abstractNumId w:val="8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F54"/>
    <w:rsid w:val="00072E11"/>
    <w:rsid w:val="000F093A"/>
    <w:rsid w:val="00133227"/>
    <w:rsid w:val="00183DD3"/>
    <w:rsid w:val="001B6729"/>
    <w:rsid w:val="001C7912"/>
    <w:rsid w:val="001D0331"/>
    <w:rsid w:val="0020485A"/>
    <w:rsid w:val="00206EA5"/>
    <w:rsid w:val="00236FD1"/>
    <w:rsid w:val="002533D0"/>
    <w:rsid w:val="00260D6A"/>
    <w:rsid w:val="002819A5"/>
    <w:rsid w:val="002913AA"/>
    <w:rsid w:val="00295C9F"/>
    <w:rsid w:val="002C7716"/>
    <w:rsid w:val="0030231A"/>
    <w:rsid w:val="00321906"/>
    <w:rsid w:val="0036431B"/>
    <w:rsid w:val="00370B72"/>
    <w:rsid w:val="003B220D"/>
    <w:rsid w:val="003F2038"/>
    <w:rsid w:val="00413175"/>
    <w:rsid w:val="004618D5"/>
    <w:rsid w:val="0047765C"/>
    <w:rsid w:val="004D6A1B"/>
    <w:rsid w:val="004E32F4"/>
    <w:rsid w:val="004F20C5"/>
    <w:rsid w:val="005317F8"/>
    <w:rsid w:val="00583FA3"/>
    <w:rsid w:val="005F3070"/>
    <w:rsid w:val="006A67E5"/>
    <w:rsid w:val="006B2C69"/>
    <w:rsid w:val="006C6C06"/>
    <w:rsid w:val="006C7C8B"/>
    <w:rsid w:val="006D3F54"/>
    <w:rsid w:val="006E5C8B"/>
    <w:rsid w:val="006F535A"/>
    <w:rsid w:val="00715C0C"/>
    <w:rsid w:val="0073007F"/>
    <w:rsid w:val="0078431F"/>
    <w:rsid w:val="007E1169"/>
    <w:rsid w:val="00806E21"/>
    <w:rsid w:val="00822618"/>
    <w:rsid w:val="00826FD5"/>
    <w:rsid w:val="00831082"/>
    <w:rsid w:val="00963001"/>
    <w:rsid w:val="00983103"/>
    <w:rsid w:val="009B5BCB"/>
    <w:rsid w:val="009C2B0E"/>
    <w:rsid w:val="009D7C99"/>
    <w:rsid w:val="00A17486"/>
    <w:rsid w:val="00A17BCE"/>
    <w:rsid w:val="00A418E2"/>
    <w:rsid w:val="00B12A31"/>
    <w:rsid w:val="00B36CC7"/>
    <w:rsid w:val="00B4482E"/>
    <w:rsid w:val="00BF3283"/>
    <w:rsid w:val="00C059A5"/>
    <w:rsid w:val="00C6318E"/>
    <w:rsid w:val="00CA3F39"/>
    <w:rsid w:val="00D17AD7"/>
    <w:rsid w:val="00D32B2B"/>
    <w:rsid w:val="00D757DA"/>
    <w:rsid w:val="00DE7C65"/>
    <w:rsid w:val="00E20BD1"/>
    <w:rsid w:val="00E54F9B"/>
    <w:rsid w:val="00E950C9"/>
    <w:rsid w:val="00EF660E"/>
    <w:rsid w:val="00F010E0"/>
    <w:rsid w:val="00F84284"/>
    <w:rsid w:val="00FA2267"/>
    <w:rsid w:val="00FB1D04"/>
    <w:rsid w:val="00FF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B59EB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0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2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C69"/>
  </w:style>
  <w:style w:type="paragraph" w:styleId="Footer">
    <w:name w:val="footer"/>
    <w:basedOn w:val="Normal"/>
    <w:link w:val="FooterChar"/>
    <w:uiPriority w:val="99"/>
    <w:unhideWhenUsed/>
    <w:rsid w:val="006B2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C69"/>
  </w:style>
  <w:style w:type="character" w:styleId="Hyperlink">
    <w:name w:val="Hyperlink"/>
    <w:basedOn w:val="DefaultParagraphFont"/>
    <w:uiPriority w:val="99"/>
    <w:semiHidden/>
    <w:unhideWhenUsed/>
    <w:rsid w:val="007E1169"/>
    <w:rPr>
      <w:strike w:val="0"/>
      <w:dstrike w:val="0"/>
      <w:color w:val="1175CA"/>
      <w:u w:val="none"/>
      <w:effect w:val="none"/>
    </w:rPr>
  </w:style>
  <w:style w:type="paragraph" w:customStyle="1" w:styleId="ABCSectionText">
    <w:name w:val="ABC Section Text"/>
    <w:uiPriority w:val="1"/>
    <w:qFormat/>
    <w:rsid w:val="009B5BCB"/>
    <w:pPr>
      <w:spacing w:before="160" w:after="0" w:line="264" w:lineRule="auto"/>
      <w:ind w:left="2520"/>
    </w:pPr>
    <w:rPr>
      <w:rFonts w:ascii="Arial" w:hAnsi="Arial"/>
      <w:color w:val="000000" w:themeColor="text1"/>
      <w:sz w:val="20"/>
      <w:szCs w:val="20"/>
    </w:rPr>
  </w:style>
  <w:style w:type="table" w:customStyle="1" w:styleId="ABCStandardTable">
    <w:name w:val="ABC Standard Table"/>
    <w:basedOn w:val="TableNormal"/>
    <w:uiPriority w:val="99"/>
    <w:rsid w:val="009B5BCB"/>
    <w:pPr>
      <w:spacing w:after="0" w:line="240" w:lineRule="auto"/>
    </w:pPr>
    <w:rPr>
      <w:rFonts w:ascii="Arial" w:hAnsi="Arial"/>
      <w:color w:val="000000" w:themeColor="text1"/>
      <w:sz w:val="18"/>
      <w:szCs w:val="20"/>
    </w:rPr>
    <w:tblPr>
      <w:tblStyleRow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43" w:type="dxa"/>
        <w:left w:w="115" w:type="dxa"/>
        <w:bottom w:w="43" w:type="dxa"/>
        <w:right w:w="115" w:type="dxa"/>
      </w:tblCellMar>
    </w:tblPr>
    <w:tblStylePr w:type="firstRow">
      <w:rPr>
        <w:b/>
        <w:color w:val="FFFFFF" w:themeColor="background1"/>
      </w:rPr>
      <w:tblPr/>
      <w:tcPr>
        <w:tcBorders>
          <w:bottom w:val="single" w:sz="18" w:space="0" w:color="FFFFFF" w:themeColor="background1"/>
        </w:tcBorders>
        <w:shd w:val="clear" w:color="auto" w:fill="9BBB59" w:themeFill="accent3"/>
      </w:tcPr>
    </w:tblStylePr>
    <w:tblStylePr w:type="band1Horz">
      <w:tblPr/>
      <w:tcPr>
        <w:shd w:val="clear" w:color="auto" w:fill="D2D6D9"/>
      </w:tcPr>
    </w:tblStylePr>
    <w:tblStylePr w:type="band2Horz">
      <w:rPr>
        <w:rFonts w:asciiTheme="minorHAnsi" w:hAnsiTheme="minorHAnsi" w:cs="Arial" w:hint="default"/>
        <w:sz w:val="18"/>
        <w:szCs w:val="18"/>
      </w:rPr>
      <w:tblPr/>
      <w:tcPr>
        <w:shd w:val="clear" w:color="auto" w:fill="EAECED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A1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6C7C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C7C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7C8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36F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F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6F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FD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C2B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8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77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309314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746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58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5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43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7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02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92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10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9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6FFA2-2A07-D743-94EE-D12780D65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2808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Ashbrook</dc:creator>
  <cp:lastModifiedBy>Microsoft Office User</cp:lastModifiedBy>
  <cp:revision>2</cp:revision>
  <cp:lastPrinted>2017-02-24T21:34:00Z</cp:lastPrinted>
  <dcterms:created xsi:type="dcterms:W3CDTF">2017-07-11T20:26:00Z</dcterms:created>
  <dcterms:modified xsi:type="dcterms:W3CDTF">2017-07-11T20:26:00Z</dcterms:modified>
</cp:coreProperties>
</file>