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FFD8" w14:textId="27F9B4E0" w:rsidR="00EC7C15" w:rsidRDefault="00EC7C15" w:rsidP="00EC7C15">
      <w:pPr>
        <w:jc w:val="right"/>
      </w:pPr>
    </w:p>
    <w:p w14:paraId="57E0E233" w14:textId="64148D33" w:rsidR="00EC7C15" w:rsidRPr="003A2434" w:rsidRDefault="003A2434" w:rsidP="00EC7C15">
      <w:pPr>
        <w:rPr>
          <w:rFonts w:ascii="Avenir Book" w:hAnsi="Avenir Book"/>
          <w:b/>
          <w:sz w:val="32"/>
          <w:szCs w:val="32"/>
        </w:rPr>
      </w:pPr>
      <w:r w:rsidRPr="003A2434">
        <w:rPr>
          <w:rFonts w:ascii="Avenir Book" w:hAnsi="Avenir Book" w:cs="Times New Roman"/>
          <w:b/>
          <w:sz w:val="32"/>
          <w:szCs w:val="32"/>
        </w:rPr>
        <w:t>Name of Institution</w:t>
      </w:r>
    </w:p>
    <w:p w14:paraId="6952AB8C" w14:textId="77777777" w:rsidR="00EC7C15" w:rsidRPr="003A2434" w:rsidRDefault="00EC7C15" w:rsidP="00EC7C15">
      <w:pPr>
        <w:rPr>
          <w:rFonts w:ascii="Avenir Book" w:hAnsi="Avenir Book" w:cs="Times New Roman"/>
        </w:rPr>
      </w:pPr>
    </w:p>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839"/>
        <w:gridCol w:w="6403"/>
      </w:tblGrid>
      <w:tr w:rsidR="003A2434" w:rsidRPr="003A2434" w14:paraId="359DD958" w14:textId="77777777" w:rsidTr="003A2434">
        <w:trPr>
          <w:trHeight w:hRule="exact" w:val="432"/>
        </w:trPr>
        <w:tc>
          <w:tcPr>
            <w:tcW w:w="2880" w:type="dxa"/>
            <w:shd w:val="clear" w:color="auto" w:fill="auto"/>
            <w:vAlign w:val="center"/>
          </w:tcPr>
          <w:p w14:paraId="238BFEB7" w14:textId="77777777" w:rsidR="00EC7C15" w:rsidRPr="003A2434" w:rsidRDefault="00EC7C15" w:rsidP="00C82D68">
            <w:pPr>
              <w:rPr>
                <w:rFonts w:ascii="Avenir Book" w:hAnsi="Avenir Book" w:cs="Times New Roman"/>
                <w:b/>
                <w:sz w:val="28"/>
                <w:szCs w:val="28"/>
              </w:rPr>
            </w:pPr>
            <w:r w:rsidRPr="003A2434">
              <w:rPr>
                <w:rFonts w:ascii="Avenir Book" w:hAnsi="Avenir Book" w:cs="Times New Roman"/>
                <w:b/>
                <w:sz w:val="28"/>
                <w:szCs w:val="28"/>
              </w:rPr>
              <w:t>Subject</w:t>
            </w:r>
          </w:p>
        </w:tc>
        <w:tc>
          <w:tcPr>
            <w:tcW w:w="6588" w:type="dxa"/>
            <w:shd w:val="clear" w:color="auto" w:fill="auto"/>
            <w:vAlign w:val="center"/>
          </w:tcPr>
          <w:p w14:paraId="4CB778B0" w14:textId="77777777" w:rsidR="00EC7C15" w:rsidRPr="003A2434" w:rsidRDefault="009626DA" w:rsidP="00A349E1">
            <w:pPr>
              <w:pStyle w:val="NormalWeb"/>
              <w:rPr>
                <w:rFonts w:ascii="Avenir Book" w:hAnsi="Avenir Book"/>
              </w:rPr>
            </w:pPr>
            <w:r w:rsidRPr="003A2434">
              <w:rPr>
                <w:rFonts w:ascii="Avenir Book" w:hAnsi="Avenir Book"/>
              </w:rPr>
              <w:t>Medication Abortion Policy and Procedure</w:t>
            </w:r>
          </w:p>
        </w:tc>
      </w:tr>
      <w:tr w:rsidR="003A2434" w:rsidRPr="003A2434" w14:paraId="364670F8" w14:textId="77777777" w:rsidTr="003A2434">
        <w:trPr>
          <w:trHeight w:hRule="exact" w:val="432"/>
        </w:trPr>
        <w:tc>
          <w:tcPr>
            <w:tcW w:w="2880" w:type="dxa"/>
            <w:shd w:val="clear" w:color="auto" w:fill="auto"/>
            <w:vAlign w:val="center"/>
          </w:tcPr>
          <w:p w14:paraId="03A7E3E8" w14:textId="77777777" w:rsidR="00EC7C15" w:rsidRPr="003A2434" w:rsidRDefault="00EC7C15" w:rsidP="00C82D68">
            <w:pPr>
              <w:rPr>
                <w:rFonts w:ascii="Avenir Book" w:hAnsi="Avenir Book" w:cs="Times New Roman"/>
                <w:b/>
                <w:sz w:val="28"/>
                <w:szCs w:val="28"/>
              </w:rPr>
            </w:pPr>
            <w:r w:rsidRPr="003A2434">
              <w:rPr>
                <w:rFonts w:ascii="Avenir Book" w:hAnsi="Avenir Book" w:cs="Times New Roman"/>
                <w:b/>
                <w:sz w:val="28"/>
                <w:szCs w:val="28"/>
              </w:rPr>
              <w:t>Department</w:t>
            </w:r>
          </w:p>
        </w:tc>
        <w:tc>
          <w:tcPr>
            <w:tcW w:w="6588" w:type="dxa"/>
            <w:shd w:val="clear" w:color="auto" w:fill="auto"/>
            <w:vAlign w:val="center"/>
          </w:tcPr>
          <w:p w14:paraId="5ADEF413" w14:textId="77777777" w:rsidR="00EC7C15" w:rsidRPr="003A2434" w:rsidRDefault="009626DA" w:rsidP="00C82D68">
            <w:pPr>
              <w:pStyle w:val="Formtext"/>
              <w:rPr>
                <w:rFonts w:ascii="Avenir Book" w:hAnsi="Avenir Book" w:cs="Times New Roman"/>
              </w:rPr>
            </w:pPr>
            <w:r w:rsidRPr="003A2434">
              <w:rPr>
                <w:rFonts w:ascii="Avenir Book" w:hAnsi="Avenir Book" w:cs="Times New Roman"/>
              </w:rPr>
              <w:t>Medicine and Nursing</w:t>
            </w:r>
          </w:p>
        </w:tc>
      </w:tr>
      <w:tr w:rsidR="003A2434" w:rsidRPr="003A2434" w14:paraId="42410448" w14:textId="77777777" w:rsidTr="003A2434">
        <w:trPr>
          <w:trHeight w:hRule="exact" w:val="432"/>
        </w:trPr>
        <w:tc>
          <w:tcPr>
            <w:tcW w:w="2880" w:type="dxa"/>
            <w:shd w:val="clear" w:color="auto" w:fill="auto"/>
            <w:vAlign w:val="center"/>
          </w:tcPr>
          <w:p w14:paraId="47689B6E" w14:textId="77777777" w:rsidR="00EC7C15" w:rsidRPr="003A2434" w:rsidRDefault="00EC7C15" w:rsidP="00C82D68">
            <w:pPr>
              <w:rPr>
                <w:rFonts w:ascii="Avenir Book" w:hAnsi="Avenir Book" w:cs="Times New Roman"/>
                <w:b/>
                <w:sz w:val="28"/>
                <w:szCs w:val="28"/>
              </w:rPr>
            </w:pPr>
            <w:r w:rsidRPr="003A2434">
              <w:rPr>
                <w:rFonts w:ascii="Avenir Book" w:hAnsi="Avenir Book" w:cs="Times New Roman"/>
                <w:b/>
                <w:sz w:val="28"/>
                <w:szCs w:val="28"/>
              </w:rPr>
              <w:t>Applicable to</w:t>
            </w:r>
          </w:p>
        </w:tc>
        <w:tc>
          <w:tcPr>
            <w:tcW w:w="6588" w:type="dxa"/>
            <w:shd w:val="clear" w:color="auto" w:fill="auto"/>
            <w:vAlign w:val="center"/>
          </w:tcPr>
          <w:p w14:paraId="131FB3CA" w14:textId="548A1AC3" w:rsidR="00EC7C15" w:rsidRPr="003A2434" w:rsidRDefault="009626DA" w:rsidP="00C82D68">
            <w:pPr>
              <w:pStyle w:val="Formtext"/>
              <w:rPr>
                <w:rFonts w:ascii="Avenir Book" w:hAnsi="Avenir Book" w:cs="Times New Roman"/>
              </w:rPr>
            </w:pPr>
            <w:r w:rsidRPr="003A2434">
              <w:rPr>
                <w:rFonts w:ascii="Avenir Book" w:hAnsi="Avenir Book" w:cs="Times New Roman"/>
              </w:rPr>
              <w:t>All sites providing this service</w:t>
            </w:r>
          </w:p>
        </w:tc>
      </w:tr>
      <w:tr w:rsidR="003A2434" w:rsidRPr="003A2434" w14:paraId="6EE85826" w14:textId="77777777" w:rsidTr="00967675">
        <w:trPr>
          <w:trHeight w:hRule="exact" w:val="469"/>
        </w:trPr>
        <w:tc>
          <w:tcPr>
            <w:tcW w:w="2880" w:type="dxa"/>
            <w:shd w:val="clear" w:color="auto" w:fill="auto"/>
            <w:vAlign w:val="center"/>
          </w:tcPr>
          <w:p w14:paraId="534E04F6" w14:textId="77777777" w:rsidR="00EC7C15" w:rsidRPr="003A2434" w:rsidRDefault="00EC7C15" w:rsidP="00C82D68">
            <w:pPr>
              <w:rPr>
                <w:rFonts w:ascii="Avenir Book" w:hAnsi="Avenir Book" w:cs="Times New Roman"/>
                <w:b/>
                <w:sz w:val="28"/>
                <w:szCs w:val="28"/>
              </w:rPr>
            </w:pPr>
            <w:r w:rsidRPr="003A2434">
              <w:rPr>
                <w:rFonts w:ascii="Avenir Book" w:hAnsi="Avenir Book" w:cs="Times New Roman"/>
                <w:b/>
                <w:sz w:val="28"/>
                <w:szCs w:val="28"/>
              </w:rPr>
              <w:t>Approved by</w:t>
            </w:r>
          </w:p>
        </w:tc>
        <w:tc>
          <w:tcPr>
            <w:tcW w:w="6588" w:type="dxa"/>
            <w:shd w:val="clear" w:color="auto" w:fill="auto"/>
            <w:vAlign w:val="center"/>
          </w:tcPr>
          <w:p w14:paraId="5E4096DC" w14:textId="77777777" w:rsidR="009626DA" w:rsidRPr="003A2434" w:rsidRDefault="009626DA" w:rsidP="003A2434">
            <w:pPr>
              <w:pStyle w:val="Formtext"/>
              <w:rPr>
                <w:rFonts w:ascii="Avenir Book" w:hAnsi="Avenir Book" w:cs="Times New Roman"/>
              </w:rPr>
            </w:pPr>
          </w:p>
        </w:tc>
      </w:tr>
      <w:tr w:rsidR="003A2434" w:rsidRPr="003A2434" w14:paraId="5228F8DC" w14:textId="77777777" w:rsidTr="003A2434">
        <w:trPr>
          <w:trHeight w:hRule="exact" w:val="432"/>
        </w:trPr>
        <w:tc>
          <w:tcPr>
            <w:tcW w:w="2880" w:type="dxa"/>
            <w:shd w:val="clear" w:color="auto" w:fill="auto"/>
            <w:vAlign w:val="center"/>
          </w:tcPr>
          <w:p w14:paraId="628AAF07" w14:textId="73853B56" w:rsidR="00EC7C15" w:rsidRPr="003A2434" w:rsidRDefault="00EC7C15" w:rsidP="00631615">
            <w:pPr>
              <w:rPr>
                <w:rFonts w:ascii="Avenir Book" w:hAnsi="Avenir Book" w:cs="Times New Roman"/>
                <w:b/>
                <w:sz w:val="28"/>
                <w:szCs w:val="28"/>
              </w:rPr>
            </w:pPr>
            <w:r w:rsidRPr="003A2434">
              <w:rPr>
                <w:rFonts w:ascii="Avenir Book" w:hAnsi="Avenir Book" w:cs="Times New Roman"/>
                <w:b/>
                <w:sz w:val="28"/>
                <w:szCs w:val="28"/>
              </w:rPr>
              <w:t>Date</w:t>
            </w:r>
            <w:r w:rsidR="003A2434">
              <w:rPr>
                <w:rFonts w:ascii="Avenir Book" w:hAnsi="Avenir Book" w:cs="Times New Roman"/>
                <w:b/>
                <w:sz w:val="28"/>
                <w:szCs w:val="28"/>
              </w:rPr>
              <w:t xml:space="preserve"> </w:t>
            </w:r>
            <w:r w:rsidR="00631615">
              <w:rPr>
                <w:rFonts w:ascii="Avenir Book" w:hAnsi="Avenir Book" w:cs="Times New Roman"/>
                <w:b/>
                <w:sz w:val="28"/>
                <w:szCs w:val="28"/>
              </w:rPr>
              <w:t>I</w:t>
            </w:r>
            <w:r w:rsidR="003A2434">
              <w:rPr>
                <w:rFonts w:ascii="Avenir Book" w:hAnsi="Avenir Book" w:cs="Times New Roman"/>
                <w:b/>
                <w:sz w:val="28"/>
                <w:szCs w:val="28"/>
              </w:rPr>
              <w:t>ssued</w:t>
            </w:r>
          </w:p>
        </w:tc>
        <w:tc>
          <w:tcPr>
            <w:tcW w:w="6588" w:type="dxa"/>
            <w:shd w:val="clear" w:color="auto" w:fill="auto"/>
            <w:vAlign w:val="center"/>
          </w:tcPr>
          <w:p w14:paraId="7D6977E1" w14:textId="77777777" w:rsidR="00EC7C15" w:rsidRPr="003A2434" w:rsidRDefault="00EC7C15" w:rsidP="00C82D68">
            <w:pPr>
              <w:pStyle w:val="Formtext"/>
              <w:rPr>
                <w:rFonts w:ascii="Avenir Book" w:hAnsi="Avenir Book" w:cs="Times New Roman"/>
              </w:rPr>
            </w:pPr>
          </w:p>
        </w:tc>
      </w:tr>
      <w:tr w:rsidR="003A2434" w:rsidRPr="003A2434" w14:paraId="5882D61B" w14:textId="77777777" w:rsidTr="003A2434">
        <w:trPr>
          <w:trHeight w:hRule="exact" w:val="432"/>
        </w:trPr>
        <w:tc>
          <w:tcPr>
            <w:tcW w:w="2880" w:type="dxa"/>
            <w:shd w:val="clear" w:color="auto" w:fill="auto"/>
            <w:vAlign w:val="center"/>
          </w:tcPr>
          <w:p w14:paraId="08DFEF29" w14:textId="1FA8810C" w:rsidR="00EC7C15" w:rsidRPr="003A2434" w:rsidRDefault="00EC7C15" w:rsidP="00C82D68">
            <w:pPr>
              <w:rPr>
                <w:rFonts w:ascii="Avenir Book" w:hAnsi="Avenir Book" w:cs="Times New Roman"/>
                <w:b/>
                <w:sz w:val="28"/>
                <w:szCs w:val="28"/>
              </w:rPr>
            </w:pPr>
            <w:r w:rsidRPr="003A2434">
              <w:rPr>
                <w:rFonts w:ascii="Avenir Book" w:hAnsi="Avenir Book" w:cs="Times New Roman"/>
                <w:b/>
                <w:sz w:val="28"/>
                <w:szCs w:val="28"/>
              </w:rPr>
              <w:t xml:space="preserve">Date Revised </w:t>
            </w:r>
          </w:p>
        </w:tc>
        <w:tc>
          <w:tcPr>
            <w:tcW w:w="6588" w:type="dxa"/>
            <w:shd w:val="clear" w:color="auto" w:fill="auto"/>
            <w:vAlign w:val="center"/>
          </w:tcPr>
          <w:p w14:paraId="11E6A634" w14:textId="0379C409" w:rsidR="00EC7C15" w:rsidRPr="003A2434" w:rsidRDefault="00EC7C15" w:rsidP="00C82D68">
            <w:pPr>
              <w:pStyle w:val="Formtext"/>
              <w:rPr>
                <w:rFonts w:ascii="Avenir Book" w:hAnsi="Avenir Book" w:cs="Times New Roman"/>
              </w:rPr>
            </w:pPr>
          </w:p>
        </w:tc>
      </w:tr>
    </w:tbl>
    <w:p w14:paraId="2E5CB302" w14:textId="77777777" w:rsidR="005A1D78" w:rsidRPr="003A2434" w:rsidRDefault="005A1D78" w:rsidP="005A1D78">
      <w:pPr>
        <w:pStyle w:val="ListParagraph"/>
        <w:ind w:left="360"/>
        <w:rPr>
          <w:rFonts w:ascii="Avenir Book" w:hAnsi="Avenir Book"/>
        </w:rPr>
      </w:pPr>
    </w:p>
    <w:p w14:paraId="354C2E77" w14:textId="77777777" w:rsidR="005A1D78" w:rsidRPr="003A2434" w:rsidRDefault="005A1D78" w:rsidP="005A1D78">
      <w:pPr>
        <w:pStyle w:val="ListParagraph"/>
        <w:ind w:left="360"/>
        <w:rPr>
          <w:rFonts w:ascii="Avenir Book" w:hAnsi="Avenir Book"/>
        </w:rPr>
      </w:pPr>
    </w:p>
    <w:p w14:paraId="469F63CC" w14:textId="77777777" w:rsidR="00B72362" w:rsidRPr="003A2434" w:rsidRDefault="00EC7C15" w:rsidP="008D76D1">
      <w:pPr>
        <w:pStyle w:val="ListParagraph"/>
        <w:numPr>
          <w:ilvl w:val="0"/>
          <w:numId w:val="2"/>
        </w:numPr>
        <w:ind w:left="360"/>
        <w:rPr>
          <w:rFonts w:ascii="Avenir Book" w:hAnsi="Avenir Book"/>
        </w:rPr>
      </w:pPr>
      <w:r w:rsidRPr="003A2434">
        <w:rPr>
          <w:rFonts w:ascii="Avenir Book" w:hAnsi="Avenir Book"/>
          <w:b/>
          <w:sz w:val="28"/>
          <w:szCs w:val="28"/>
        </w:rPr>
        <w:t>Purpose</w:t>
      </w:r>
      <w:r w:rsidR="00A349E1" w:rsidRPr="003A2434">
        <w:rPr>
          <w:rFonts w:ascii="Avenir Book" w:hAnsi="Avenir Book"/>
          <w:b/>
        </w:rPr>
        <w:t>:</w:t>
      </w:r>
      <w:r w:rsidR="00B72362" w:rsidRPr="003A2434">
        <w:rPr>
          <w:rFonts w:ascii="Avenir Book" w:hAnsi="Avenir Book"/>
        </w:rPr>
        <w:t xml:space="preserve"> </w:t>
      </w:r>
      <w:r w:rsidR="009626DA" w:rsidRPr="003A2434">
        <w:rPr>
          <w:rFonts w:ascii="Avenir Book" w:hAnsi="Avenir Book"/>
        </w:rPr>
        <w:t xml:space="preserve"> Describe clinician and nursing roles in the provision of Medication Abortion</w:t>
      </w:r>
    </w:p>
    <w:p w14:paraId="6BC45768" w14:textId="77777777" w:rsidR="00FD059A" w:rsidRPr="003A2434" w:rsidRDefault="00FD059A" w:rsidP="00FD059A">
      <w:pPr>
        <w:pStyle w:val="ListParagraph"/>
        <w:ind w:left="360"/>
        <w:rPr>
          <w:rFonts w:ascii="Avenir Book" w:hAnsi="Avenir Book"/>
        </w:rPr>
      </w:pPr>
    </w:p>
    <w:p w14:paraId="665A29DD" w14:textId="7B4F2B6F" w:rsidR="009626DA" w:rsidRPr="003A2434" w:rsidRDefault="009626DA" w:rsidP="00967675">
      <w:pPr>
        <w:ind w:left="450" w:hanging="450"/>
        <w:rPr>
          <w:rFonts w:ascii="Avenir Book" w:hAnsi="Avenir Book"/>
        </w:rPr>
      </w:pPr>
      <w:r w:rsidRPr="00631615">
        <w:rPr>
          <w:rFonts w:ascii="Avenir Book" w:hAnsi="Avenir Book"/>
          <w:b/>
          <w:sz w:val="28"/>
          <w:szCs w:val="28"/>
        </w:rPr>
        <w:t xml:space="preserve">2.   </w:t>
      </w:r>
      <w:r w:rsidR="00EC7C15" w:rsidRPr="00631615">
        <w:rPr>
          <w:rFonts w:ascii="Avenir Book" w:hAnsi="Avenir Book"/>
          <w:b/>
          <w:sz w:val="28"/>
          <w:szCs w:val="28"/>
        </w:rPr>
        <w:t>Policy</w:t>
      </w:r>
      <w:r w:rsidR="00FD059A" w:rsidRPr="00631615">
        <w:rPr>
          <w:rFonts w:ascii="Avenir Book" w:hAnsi="Avenir Book"/>
          <w:b/>
          <w:sz w:val="28"/>
          <w:szCs w:val="28"/>
        </w:rPr>
        <w:t>:</w:t>
      </w:r>
      <w:r w:rsidRPr="003A2434">
        <w:rPr>
          <w:rFonts w:ascii="Avenir Book" w:hAnsi="Avenir Book"/>
          <w:sz w:val="28"/>
          <w:szCs w:val="28"/>
        </w:rPr>
        <w:t xml:space="preserve">  </w:t>
      </w:r>
      <w:r w:rsidRPr="003A2434">
        <w:rPr>
          <w:rFonts w:ascii="Avenir Book" w:hAnsi="Avenir Book"/>
        </w:rPr>
        <w:t xml:space="preserve"> It is the policy of the </w:t>
      </w:r>
      <w:r w:rsidR="003A2434" w:rsidRPr="00967675">
        <w:rPr>
          <w:rFonts w:ascii="Avenir Book" w:hAnsi="Avenir Book"/>
          <w:i/>
        </w:rPr>
        <w:t>Name of Institution</w:t>
      </w:r>
      <w:r w:rsidRPr="003A2434">
        <w:rPr>
          <w:rFonts w:ascii="Avenir Book" w:hAnsi="Avenir Book"/>
        </w:rPr>
        <w:t xml:space="preserve"> to provide medication abortions to patients requesting a termination of an early pregnancy up to an including 7</w:t>
      </w:r>
      <w:r w:rsidR="008C1901">
        <w:rPr>
          <w:rFonts w:ascii="Avenir Book" w:hAnsi="Avenir Book"/>
        </w:rPr>
        <w:t>7</w:t>
      </w:r>
      <w:r w:rsidRPr="003A2434">
        <w:rPr>
          <w:rFonts w:ascii="Avenir Book" w:hAnsi="Avenir Book"/>
        </w:rPr>
        <w:t xml:space="preserve"> days of gestational age</w:t>
      </w:r>
      <w:r w:rsidR="00967675">
        <w:rPr>
          <w:rFonts w:ascii="Avenir Book" w:hAnsi="Avenir Book"/>
        </w:rPr>
        <w:t>.</w:t>
      </w:r>
    </w:p>
    <w:p w14:paraId="2C04F182" w14:textId="77777777" w:rsidR="009626DA" w:rsidRPr="003A2434" w:rsidRDefault="009626DA" w:rsidP="009626DA">
      <w:pPr>
        <w:rPr>
          <w:rFonts w:ascii="Avenir Book" w:hAnsi="Avenir Book"/>
          <w:sz w:val="28"/>
          <w:szCs w:val="28"/>
        </w:rPr>
      </w:pPr>
    </w:p>
    <w:p w14:paraId="54B1C31F" w14:textId="274240EE" w:rsidR="00A349E1" w:rsidRPr="003A2434" w:rsidRDefault="009626DA" w:rsidP="009626DA">
      <w:pPr>
        <w:rPr>
          <w:rFonts w:ascii="Avenir Book" w:hAnsi="Avenir Book"/>
        </w:rPr>
      </w:pPr>
      <w:r w:rsidRPr="00631615">
        <w:rPr>
          <w:rFonts w:ascii="Avenir Book" w:hAnsi="Avenir Book"/>
          <w:b/>
          <w:sz w:val="28"/>
          <w:szCs w:val="28"/>
        </w:rPr>
        <w:t xml:space="preserve">3. </w:t>
      </w:r>
      <w:r w:rsidR="00EC7C15" w:rsidRPr="00631615">
        <w:rPr>
          <w:rFonts w:ascii="Avenir Book" w:hAnsi="Avenir Book"/>
          <w:b/>
          <w:sz w:val="28"/>
          <w:szCs w:val="28"/>
        </w:rPr>
        <w:t>Definition</w:t>
      </w:r>
      <w:r w:rsidR="00405394" w:rsidRPr="00631615">
        <w:rPr>
          <w:rFonts w:ascii="Avenir Book" w:hAnsi="Avenir Book"/>
          <w:b/>
          <w:sz w:val="28"/>
          <w:szCs w:val="28"/>
        </w:rPr>
        <w:t>:</w:t>
      </w:r>
      <w:r w:rsidRPr="003A2434">
        <w:rPr>
          <w:rFonts w:ascii="Avenir Book" w:hAnsi="Avenir Book"/>
          <w:sz w:val="28"/>
          <w:szCs w:val="28"/>
        </w:rPr>
        <w:t xml:space="preserve">  </w:t>
      </w:r>
      <w:r w:rsidRPr="003A2434">
        <w:rPr>
          <w:rFonts w:ascii="Avenir Book" w:hAnsi="Avenir Book"/>
        </w:rPr>
        <w:t>Abortion with medications up to 7</w:t>
      </w:r>
      <w:r w:rsidR="008C1901">
        <w:rPr>
          <w:rFonts w:ascii="Avenir Book" w:hAnsi="Avenir Book"/>
        </w:rPr>
        <w:t>7</w:t>
      </w:r>
      <w:r w:rsidRPr="003A2434">
        <w:rPr>
          <w:rFonts w:ascii="Avenir Book" w:hAnsi="Avenir Book"/>
        </w:rPr>
        <w:t xml:space="preserve"> days from last menstrual period</w:t>
      </w:r>
      <w:r w:rsidR="00967675">
        <w:rPr>
          <w:rFonts w:ascii="Avenir Book" w:hAnsi="Avenir Book"/>
        </w:rPr>
        <w:t>.</w:t>
      </w:r>
    </w:p>
    <w:p w14:paraId="42974D42" w14:textId="77777777" w:rsidR="009626DA" w:rsidRPr="003A2434" w:rsidRDefault="009626DA" w:rsidP="009626DA">
      <w:pPr>
        <w:pStyle w:val="Heading1"/>
        <w:rPr>
          <w:rFonts w:ascii="Avenir Book" w:eastAsiaTheme="minorHAnsi" w:hAnsi="Avenir Book" w:cstheme="minorBidi"/>
          <w:b w:val="0"/>
          <w:bCs w:val="0"/>
          <w:sz w:val="28"/>
          <w:szCs w:val="28"/>
        </w:rPr>
      </w:pPr>
    </w:p>
    <w:p w14:paraId="417BC461" w14:textId="77777777" w:rsidR="009626DA" w:rsidRPr="00631615" w:rsidRDefault="009626DA" w:rsidP="009626DA">
      <w:pPr>
        <w:rPr>
          <w:rFonts w:ascii="Avenir Book" w:hAnsi="Avenir Book"/>
          <w:b/>
          <w:sz w:val="28"/>
          <w:szCs w:val="28"/>
        </w:rPr>
      </w:pPr>
      <w:r w:rsidRPr="00631615">
        <w:rPr>
          <w:rFonts w:ascii="Avenir Book" w:hAnsi="Avenir Book"/>
          <w:b/>
          <w:sz w:val="28"/>
          <w:szCs w:val="28"/>
        </w:rPr>
        <w:t>4. Procedure:</w:t>
      </w:r>
    </w:p>
    <w:p w14:paraId="44298A31" w14:textId="77777777" w:rsidR="009626DA" w:rsidRPr="003A2434" w:rsidRDefault="009626DA" w:rsidP="009626DA">
      <w:pPr>
        <w:pStyle w:val="Heading1"/>
        <w:rPr>
          <w:rFonts w:ascii="Avenir Book" w:hAnsi="Avenir Book"/>
          <w:b w:val="0"/>
          <w:bCs w:val="0"/>
        </w:rPr>
      </w:pPr>
    </w:p>
    <w:p w14:paraId="08A7422F" w14:textId="608CCF4B" w:rsidR="009626DA" w:rsidRPr="00631615" w:rsidRDefault="00631615" w:rsidP="009626DA">
      <w:pPr>
        <w:rPr>
          <w:rFonts w:ascii="Avenir Book" w:hAnsi="Avenir Book"/>
          <w:b/>
        </w:rPr>
      </w:pPr>
      <w:r>
        <w:rPr>
          <w:rFonts w:ascii="Avenir Book" w:hAnsi="Avenir Book"/>
          <w:b/>
        </w:rPr>
        <w:t xml:space="preserve">I   </w:t>
      </w:r>
      <w:r w:rsidR="009626DA" w:rsidRPr="00631615">
        <w:rPr>
          <w:rFonts w:ascii="Avenir Book" w:hAnsi="Avenir Book"/>
          <w:b/>
        </w:rPr>
        <w:t>VISIT ONE</w:t>
      </w:r>
    </w:p>
    <w:p w14:paraId="13A2CA63" w14:textId="77777777" w:rsidR="009626DA" w:rsidRPr="003A2434" w:rsidRDefault="009626DA" w:rsidP="009626DA">
      <w:pPr>
        <w:rPr>
          <w:rFonts w:ascii="Avenir Book" w:hAnsi="Avenir Book"/>
        </w:rPr>
      </w:pPr>
    </w:p>
    <w:p w14:paraId="5A80FE8F" w14:textId="0135900A" w:rsidR="009626DA" w:rsidRPr="003A2434" w:rsidRDefault="009626DA" w:rsidP="00967675">
      <w:pPr>
        <w:spacing w:after="120"/>
        <w:rPr>
          <w:rFonts w:ascii="Avenir Book" w:hAnsi="Avenir Book"/>
        </w:rPr>
      </w:pPr>
      <w:r w:rsidRPr="00990BB9">
        <w:rPr>
          <w:rFonts w:ascii="Avenir Book" w:hAnsi="Avenir Book"/>
          <w:u w:val="single"/>
        </w:rPr>
        <w:t>1. Arrival:</w:t>
      </w:r>
      <w:r w:rsidRPr="003A2434">
        <w:rPr>
          <w:rFonts w:ascii="Avenir Book" w:hAnsi="Avenir Book"/>
        </w:rPr>
        <w:t xml:space="preserve"> </w:t>
      </w:r>
      <w:r w:rsidR="00E03526">
        <w:rPr>
          <w:rFonts w:ascii="Avenir Book" w:hAnsi="Avenir Book"/>
        </w:rPr>
        <w:t>Patients</w:t>
      </w:r>
      <w:r w:rsidRPr="003A2434">
        <w:rPr>
          <w:rFonts w:ascii="Avenir Book" w:hAnsi="Avenir Book"/>
        </w:rPr>
        <w:t xml:space="preserve"> scheduled for a medical abortion will enter the practice, sign in and be registered along with all other patients.</w:t>
      </w:r>
    </w:p>
    <w:p w14:paraId="5A15EEA1" w14:textId="6E47452C" w:rsidR="009626DA" w:rsidRPr="00967675" w:rsidRDefault="009626DA" w:rsidP="00967675">
      <w:pPr>
        <w:pStyle w:val="Heading1"/>
        <w:spacing w:after="120"/>
        <w:rPr>
          <w:rFonts w:ascii="Avenir Book" w:hAnsi="Avenir Book"/>
          <w:b w:val="0"/>
          <w:bCs w:val="0"/>
        </w:rPr>
      </w:pPr>
      <w:r w:rsidRPr="00990BB9">
        <w:rPr>
          <w:rFonts w:ascii="Avenir Book" w:hAnsi="Avenir Book"/>
          <w:b w:val="0"/>
          <w:bCs w:val="0"/>
          <w:u w:val="single"/>
        </w:rPr>
        <w:t>2. Nursing tasks:</w:t>
      </w:r>
      <w:r w:rsidRPr="003A2434">
        <w:rPr>
          <w:rFonts w:ascii="Avenir Book" w:hAnsi="Avenir Book"/>
          <w:b w:val="0"/>
          <w:bCs w:val="0"/>
        </w:rPr>
        <w:t xml:space="preserve"> A urine sample is obtained for a pregnancy test, and the medical office assistant or nurse completes the test.  The test results are documented in the chart. Vital signs are obtained by the medical assistant and noted in the chart. A</w:t>
      </w:r>
      <w:r w:rsidR="006653F1" w:rsidRPr="003A2434">
        <w:rPr>
          <w:rFonts w:ascii="Avenir Book" w:hAnsi="Avenir Book"/>
          <w:b w:val="0"/>
          <w:bCs w:val="0"/>
        </w:rPr>
        <w:t xml:space="preserve"> </w:t>
      </w:r>
      <w:r w:rsidRPr="003A2434">
        <w:rPr>
          <w:rFonts w:ascii="Avenir Book" w:hAnsi="Avenir Book"/>
          <w:b w:val="0"/>
          <w:bCs w:val="0"/>
        </w:rPr>
        <w:t>finger-stick hemoglobin is performed and documented.</w:t>
      </w:r>
    </w:p>
    <w:p w14:paraId="16708F47" w14:textId="77777777" w:rsidR="009626DA" w:rsidRPr="003A2434" w:rsidRDefault="009626DA" w:rsidP="00967675">
      <w:pPr>
        <w:spacing w:after="120"/>
        <w:rPr>
          <w:rFonts w:ascii="Avenir Book" w:hAnsi="Avenir Book"/>
        </w:rPr>
      </w:pPr>
      <w:r w:rsidRPr="00990BB9">
        <w:rPr>
          <w:rFonts w:ascii="Avenir Book" w:hAnsi="Avenir Book"/>
          <w:u w:val="single"/>
        </w:rPr>
        <w:t xml:space="preserve">3. Counseling: </w:t>
      </w:r>
      <w:r w:rsidRPr="003A2434">
        <w:rPr>
          <w:rFonts w:ascii="Avenir Book" w:hAnsi="Avenir Book"/>
        </w:rPr>
        <w:t>If the pregnancy test is positive, the patient discusses options with a clinician. The patient may decide to continue the pregnancy, or to have an Aspiration or Medication Abortion. Adoption referrals are made if the patient is interested.  If necessary, the patient is referred for further options counseling.</w:t>
      </w:r>
    </w:p>
    <w:p w14:paraId="773542C6" w14:textId="77777777" w:rsidR="009626DA" w:rsidRPr="003A2434" w:rsidRDefault="009626DA" w:rsidP="00967675">
      <w:pPr>
        <w:spacing w:after="120"/>
        <w:rPr>
          <w:rFonts w:ascii="Avenir Book" w:hAnsi="Avenir Book"/>
        </w:rPr>
      </w:pPr>
    </w:p>
    <w:p w14:paraId="757A7121" w14:textId="33C1AAD3" w:rsidR="009626DA" w:rsidRPr="003A2434" w:rsidRDefault="009626DA" w:rsidP="00967675">
      <w:pPr>
        <w:spacing w:after="120"/>
        <w:rPr>
          <w:rFonts w:ascii="Avenir Book" w:hAnsi="Avenir Book"/>
        </w:rPr>
      </w:pPr>
      <w:r w:rsidRPr="00990BB9">
        <w:rPr>
          <w:rFonts w:ascii="Avenir Book" w:hAnsi="Avenir Book"/>
          <w:u w:val="single"/>
        </w:rPr>
        <w:lastRenderedPageBreak/>
        <w:t>4. History:</w:t>
      </w:r>
      <w:r w:rsidRPr="003A2434">
        <w:rPr>
          <w:rFonts w:ascii="Avenir Book" w:hAnsi="Avenir Book"/>
        </w:rPr>
        <w:t xml:space="preserve"> The clinician obtains a medical, surgical, and gynecologic history from the patient and records this in the chart. Patients desiring a medical abortion must meet the following conditions:</w:t>
      </w:r>
    </w:p>
    <w:p w14:paraId="75530269" w14:textId="77777777" w:rsidR="009626DA" w:rsidRPr="003A2434" w:rsidRDefault="009626DA" w:rsidP="00967675">
      <w:pPr>
        <w:spacing w:after="120"/>
        <w:ind w:left="720"/>
        <w:rPr>
          <w:rFonts w:ascii="Avenir Book" w:hAnsi="Avenir Book"/>
        </w:rPr>
      </w:pPr>
      <w:r w:rsidRPr="003A2434">
        <w:rPr>
          <w:rFonts w:ascii="Avenir Book" w:hAnsi="Avenir Book"/>
        </w:rPr>
        <w:t>a) The patient must not have any of the following contraindications:</w:t>
      </w:r>
    </w:p>
    <w:p w14:paraId="0C906711" w14:textId="77777777" w:rsidR="009626DA" w:rsidRPr="003A2434" w:rsidRDefault="009626DA" w:rsidP="00967675">
      <w:pPr>
        <w:numPr>
          <w:ilvl w:val="0"/>
          <w:numId w:val="36"/>
        </w:numPr>
        <w:spacing w:after="120"/>
        <w:rPr>
          <w:rFonts w:ascii="Avenir Book" w:hAnsi="Avenir Book"/>
        </w:rPr>
      </w:pPr>
      <w:r w:rsidRPr="003A2434">
        <w:rPr>
          <w:rFonts w:ascii="Avenir Book" w:hAnsi="Avenir Book"/>
        </w:rPr>
        <w:t>IUD in place</w:t>
      </w:r>
    </w:p>
    <w:p w14:paraId="1ACEA077" w14:textId="77777777" w:rsidR="009626DA" w:rsidRPr="003A2434" w:rsidRDefault="009626DA" w:rsidP="00967675">
      <w:pPr>
        <w:numPr>
          <w:ilvl w:val="0"/>
          <w:numId w:val="36"/>
        </w:numPr>
        <w:spacing w:after="120"/>
        <w:rPr>
          <w:rFonts w:ascii="Avenir Book" w:hAnsi="Avenir Book"/>
        </w:rPr>
      </w:pPr>
      <w:r w:rsidRPr="003A2434">
        <w:rPr>
          <w:rFonts w:ascii="Avenir Book" w:hAnsi="Avenir Book"/>
        </w:rPr>
        <w:t>Allergy to prostaglandins or mifepristone</w:t>
      </w:r>
    </w:p>
    <w:p w14:paraId="03EEABEF" w14:textId="77777777" w:rsidR="009626DA" w:rsidRPr="003A2434" w:rsidRDefault="009626DA" w:rsidP="00967675">
      <w:pPr>
        <w:numPr>
          <w:ilvl w:val="0"/>
          <w:numId w:val="36"/>
        </w:numPr>
        <w:spacing w:after="120"/>
        <w:rPr>
          <w:rFonts w:ascii="Avenir Book" w:hAnsi="Avenir Book"/>
        </w:rPr>
      </w:pPr>
      <w:r w:rsidRPr="003A2434">
        <w:rPr>
          <w:rFonts w:ascii="Avenir Book" w:hAnsi="Avenir Book"/>
        </w:rPr>
        <w:t>Chronic adrenal failure</w:t>
      </w:r>
    </w:p>
    <w:p w14:paraId="764693DD" w14:textId="77777777" w:rsidR="009626DA" w:rsidRPr="003A2434" w:rsidRDefault="009626DA" w:rsidP="00967675">
      <w:pPr>
        <w:numPr>
          <w:ilvl w:val="0"/>
          <w:numId w:val="36"/>
        </w:numPr>
        <w:spacing w:after="120"/>
        <w:rPr>
          <w:rFonts w:ascii="Avenir Book" w:hAnsi="Avenir Book"/>
        </w:rPr>
      </w:pPr>
      <w:r w:rsidRPr="003A2434">
        <w:rPr>
          <w:rFonts w:ascii="Avenir Book" w:hAnsi="Avenir Book"/>
        </w:rPr>
        <w:t>Long term systemic corticosteroid use</w:t>
      </w:r>
    </w:p>
    <w:p w14:paraId="0CA36D4A" w14:textId="77777777" w:rsidR="009626DA" w:rsidRPr="003A2434" w:rsidRDefault="009626DA" w:rsidP="00967675">
      <w:pPr>
        <w:numPr>
          <w:ilvl w:val="0"/>
          <w:numId w:val="36"/>
        </w:numPr>
        <w:spacing w:after="120"/>
        <w:rPr>
          <w:rFonts w:ascii="Avenir Book" w:hAnsi="Avenir Book"/>
        </w:rPr>
      </w:pPr>
      <w:r w:rsidRPr="003A2434">
        <w:rPr>
          <w:rFonts w:ascii="Avenir Book" w:hAnsi="Avenir Book"/>
        </w:rPr>
        <w:t>Hemorrhagic Disorders</w:t>
      </w:r>
    </w:p>
    <w:p w14:paraId="74A467DA" w14:textId="77777777" w:rsidR="009626DA" w:rsidRPr="003A2434" w:rsidRDefault="009626DA" w:rsidP="00967675">
      <w:pPr>
        <w:numPr>
          <w:ilvl w:val="0"/>
          <w:numId w:val="36"/>
        </w:numPr>
        <w:spacing w:after="120"/>
        <w:rPr>
          <w:rFonts w:ascii="Avenir Book" w:hAnsi="Avenir Book"/>
        </w:rPr>
      </w:pPr>
      <w:r w:rsidRPr="003A2434">
        <w:rPr>
          <w:rFonts w:ascii="Avenir Book" w:hAnsi="Avenir Book"/>
        </w:rPr>
        <w:t>Severe anemia</w:t>
      </w:r>
    </w:p>
    <w:p w14:paraId="0E664DB4" w14:textId="5F01B0B6" w:rsidR="009626DA" w:rsidRPr="00967675" w:rsidRDefault="009626DA" w:rsidP="00967675">
      <w:pPr>
        <w:numPr>
          <w:ilvl w:val="0"/>
          <w:numId w:val="36"/>
        </w:numPr>
        <w:spacing w:after="120"/>
        <w:rPr>
          <w:rFonts w:ascii="Avenir Book" w:hAnsi="Avenir Book"/>
        </w:rPr>
      </w:pPr>
      <w:r w:rsidRPr="003A2434">
        <w:rPr>
          <w:rFonts w:ascii="Avenir Book" w:hAnsi="Avenir Book"/>
        </w:rPr>
        <w:t>Current anticoagulant therapy (aspirin and herbal formulas are acceptable)</w:t>
      </w:r>
    </w:p>
    <w:p w14:paraId="2242BEBB" w14:textId="45EFB473" w:rsidR="009626DA" w:rsidRPr="003A2434" w:rsidRDefault="009626DA" w:rsidP="00967675">
      <w:pPr>
        <w:spacing w:after="120"/>
        <w:ind w:left="720"/>
        <w:rPr>
          <w:rFonts w:ascii="Avenir Book" w:hAnsi="Avenir Book"/>
        </w:rPr>
      </w:pPr>
      <w:r w:rsidRPr="003A2434">
        <w:rPr>
          <w:rFonts w:ascii="Avenir Book" w:hAnsi="Avenir Book"/>
        </w:rPr>
        <w:t xml:space="preserve">b) The patient must have access to a telephone and transportation, and </w:t>
      </w:r>
      <w:r w:rsidR="00AD5500">
        <w:rPr>
          <w:rFonts w:ascii="Avenir Book" w:hAnsi="Avenir Book"/>
        </w:rPr>
        <w:t>the patient</w:t>
      </w:r>
      <w:r w:rsidRPr="003A2434">
        <w:rPr>
          <w:rFonts w:ascii="Avenir Book" w:hAnsi="Avenir Book"/>
        </w:rPr>
        <w:t xml:space="preserve"> must agree to return or be in touch by phone or </w:t>
      </w:r>
      <w:r w:rsidR="00AD5500">
        <w:rPr>
          <w:rFonts w:ascii="Avenir Book" w:hAnsi="Avenir Book"/>
        </w:rPr>
        <w:t>via the patient portal</w:t>
      </w:r>
      <w:r w:rsidRPr="003A2434">
        <w:rPr>
          <w:rFonts w:ascii="Avenir Book" w:hAnsi="Avenir Book"/>
        </w:rPr>
        <w:t xml:space="preserve"> for follow up.  </w:t>
      </w:r>
      <w:r w:rsidR="00AD5500">
        <w:rPr>
          <w:rFonts w:ascii="Avenir Book" w:hAnsi="Avenir Book"/>
        </w:rPr>
        <w:t>The patient</w:t>
      </w:r>
      <w:r w:rsidRPr="003A2434">
        <w:rPr>
          <w:rFonts w:ascii="Avenir Book" w:hAnsi="Avenir Book"/>
        </w:rPr>
        <w:t xml:space="preserve"> must be able to understand and follow instructions for taking misoprostol at home.  </w:t>
      </w:r>
    </w:p>
    <w:p w14:paraId="7586343B" w14:textId="16CFA297" w:rsidR="009626DA" w:rsidRPr="003A2434" w:rsidRDefault="009626DA" w:rsidP="00967675">
      <w:pPr>
        <w:spacing w:after="120"/>
        <w:ind w:left="720"/>
        <w:rPr>
          <w:rFonts w:ascii="Avenir Book" w:hAnsi="Avenir Book"/>
        </w:rPr>
      </w:pPr>
      <w:r w:rsidRPr="003A2434">
        <w:rPr>
          <w:rFonts w:ascii="Avenir Book" w:hAnsi="Avenir Book"/>
        </w:rPr>
        <w:t xml:space="preserve">c) The patient must live within a reasonable distance of emergency health care. </w:t>
      </w:r>
    </w:p>
    <w:p w14:paraId="58311D68" w14:textId="1C6735B2" w:rsidR="009626DA" w:rsidRPr="003A2434" w:rsidRDefault="009626DA" w:rsidP="00967675">
      <w:pPr>
        <w:spacing w:after="120"/>
        <w:ind w:left="720"/>
        <w:rPr>
          <w:rFonts w:ascii="Avenir Book" w:hAnsi="Avenir Book"/>
        </w:rPr>
      </w:pPr>
      <w:r w:rsidRPr="003A2434">
        <w:rPr>
          <w:rFonts w:ascii="Avenir Book" w:hAnsi="Avenir Book"/>
        </w:rPr>
        <w:t xml:space="preserve">d) </w:t>
      </w:r>
      <w:r w:rsidR="00AD5500">
        <w:rPr>
          <w:rFonts w:ascii="Avenir Book" w:hAnsi="Avenir Book"/>
        </w:rPr>
        <w:t>The patient</w:t>
      </w:r>
      <w:r w:rsidRPr="003A2434">
        <w:rPr>
          <w:rFonts w:ascii="Avenir Book" w:hAnsi="Avenir Book"/>
        </w:rPr>
        <w:t xml:space="preserve"> understands that if the medical abortion fails, </w:t>
      </w:r>
      <w:r w:rsidR="00AD5500">
        <w:rPr>
          <w:rFonts w:ascii="Avenir Book" w:hAnsi="Avenir Book"/>
        </w:rPr>
        <w:t>the patient</w:t>
      </w:r>
      <w:r w:rsidRPr="003A2434">
        <w:rPr>
          <w:rFonts w:ascii="Avenir Book" w:hAnsi="Avenir Book"/>
        </w:rPr>
        <w:t xml:space="preserve"> will need further treatment which could include an aspiration abortion.</w:t>
      </w:r>
    </w:p>
    <w:p w14:paraId="5355C1A1" w14:textId="5A285AAB" w:rsidR="009626DA" w:rsidRPr="003A2434" w:rsidRDefault="009626DA" w:rsidP="00967675">
      <w:pPr>
        <w:spacing w:after="120"/>
        <w:ind w:left="720"/>
        <w:rPr>
          <w:rFonts w:ascii="Avenir Book" w:hAnsi="Avenir Book"/>
        </w:rPr>
      </w:pPr>
      <w:r w:rsidRPr="003A2434">
        <w:rPr>
          <w:rFonts w:ascii="Avenir Book" w:hAnsi="Avenir Book"/>
        </w:rPr>
        <w:t xml:space="preserve">e) The patient must understand and complete the consent form and the </w:t>
      </w:r>
      <w:proofErr w:type="spellStart"/>
      <w:r w:rsidRPr="003A2434">
        <w:rPr>
          <w:rFonts w:ascii="Avenir Book" w:hAnsi="Avenir Book"/>
        </w:rPr>
        <w:t>Danco</w:t>
      </w:r>
      <w:proofErr w:type="spellEnd"/>
      <w:r w:rsidRPr="003A2434">
        <w:rPr>
          <w:rFonts w:ascii="Avenir Book" w:hAnsi="Avenir Book"/>
        </w:rPr>
        <w:t xml:space="preserve"> patient agreement.  The consent form is found in the letters section of epic and will be scanned into the medical record. The take home information sheet will also be printed out fro</w:t>
      </w:r>
      <w:r w:rsidR="00967675">
        <w:rPr>
          <w:rFonts w:ascii="Avenir Book" w:hAnsi="Avenir Book"/>
        </w:rPr>
        <w:t>m epic and given to the patient.</w:t>
      </w:r>
    </w:p>
    <w:p w14:paraId="1BF21349" w14:textId="71CAF4E3" w:rsidR="009626DA" w:rsidRPr="003A2434" w:rsidRDefault="009626DA" w:rsidP="00967675">
      <w:pPr>
        <w:pStyle w:val="Heading1"/>
        <w:spacing w:after="120"/>
        <w:rPr>
          <w:rFonts w:ascii="Avenir Book" w:hAnsi="Avenir Book"/>
          <w:b w:val="0"/>
          <w:bCs w:val="0"/>
        </w:rPr>
      </w:pPr>
      <w:r w:rsidRPr="00990BB9">
        <w:rPr>
          <w:rFonts w:ascii="Avenir Book" w:hAnsi="Avenir Book"/>
          <w:b w:val="0"/>
          <w:bCs w:val="0"/>
          <w:u w:val="single"/>
        </w:rPr>
        <w:t>5. Ultrasound exam:</w:t>
      </w:r>
      <w:r w:rsidRPr="003A2434">
        <w:rPr>
          <w:rFonts w:ascii="Avenir Book" w:hAnsi="Avenir Book"/>
          <w:b w:val="0"/>
          <w:bCs w:val="0"/>
        </w:rPr>
        <w:t xml:space="preserve"> An ultrasound examination should be performed on</w:t>
      </w:r>
      <w:r w:rsidR="00DE5840">
        <w:rPr>
          <w:rFonts w:ascii="Avenir Book" w:hAnsi="Avenir Book"/>
          <w:b w:val="0"/>
          <w:bCs w:val="0"/>
        </w:rPr>
        <w:t xml:space="preserve"> an as needed basis. (See # 6) </w:t>
      </w:r>
      <w:r w:rsidRPr="003A2434">
        <w:rPr>
          <w:rFonts w:ascii="Avenir Book" w:hAnsi="Avenir Book"/>
          <w:b w:val="0"/>
          <w:bCs w:val="0"/>
        </w:rPr>
        <w:t>The name of the patient and the date of the examination must be noted on the sonogram.  A copy of this sonogram must be scanned into the chart. If an intrauterine pregnancy is identified, the pregnancy will be dated by on of the following formulas:</w:t>
      </w:r>
    </w:p>
    <w:p w14:paraId="30DA8A2C" w14:textId="77777777" w:rsidR="009626DA" w:rsidRPr="003A2434" w:rsidRDefault="009626DA" w:rsidP="00967675">
      <w:pPr>
        <w:spacing w:after="120"/>
        <w:rPr>
          <w:rFonts w:ascii="Avenir Book" w:hAnsi="Avenir Book"/>
        </w:rPr>
      </w:pPr>
      <w:r w:rsidRPr="003A2434">
        <w:rPr>
          <w:rFonts w:ascii="Avenir Book" w:hAnsi="Avenir Book"/>
        </w:rPr>
        <w:t xml:space="preserve"> </w:t>
      </w:r>
      <w:r w:rsidRPr="003A2434">
        <w:rPr>
          <w:rFonts w:ascii="Avenir Book" w:hAnsi="Avenir Book"/>
        </w:rPr>
        <w:tab/>
        <w:t>EGA = 30 + average size of gestational sac in mm; or</w:t>
      </w:r>
    </w:p>
    <w:p w14:paraId="4AF38BBB" w14:textId="77777777" w:rsidR="009626DA" w:rsidRPr="003A2434" w:rsidRDefault="009626DA" w:rsidP="00967675">
      <w:pPr>
        <w:spacing w:after="120"/>
        <w:ind w:firstLine="720"/>
        <w:rPr>
          <w:rFonts w:ascii="Avenir Book" w:hAnsi="Avenir Book"/>
        </w:rPr>
      </w:pPr>
      <w:r w:rsidRPr="003A2434">
        <w:rPr>
          <w:rFonts w:ascii="Avenir Book" w:hAnsi="Avenir Book"/>
        </w:rPr>
        <w:t>EGA = 42 + crown rump length of embryo if present.</w:t>
      </w:r>
    </w:p>
    <w:p w14:paraId="7C44654A" w14:textId="77777777" w:rsidR="009626DA" w:rsidRPr="003A2434" w:rsidRDefault="009626DA" w:rsidP="00967675">
      <w:pPr>
        <w:spacing w:after="120"/>
        <w:ind w:firstLine="720"/>
        <w:rPr>
          <w:rFonts w:ascii="Avenir Book" w:hAnsi="Avenir Book"/>
        </w:rPr>
      </w:pPr>
      <w:r w:rsidRPr="003A2434">
        <w:rPr>
          <w:rFonts w:ascii="Avenir Book" w:hAnsi="Avenir Book"/>
        </w:rPr>
        <w:t>Hadlock dating if the CRL is greater than 25mm</w:t>
      </w:r>
    </w:p>
    <w:p w14:paraId="6F2320E5" w14:textId="0B8A31B7" w:rsidR="009626DA" w:rsidRDefault="009626DA" w:rsidP="00967675">
      <w:pPr>
        <w:spacing w:after="120"/>
        <w:rPr>
          <w:rFonts w:ascii="Avenir Book" w:hAnsi="Avenir Book"/>
        </w:rPr>
      </w:pPr>
      <w:r w:rsidRPr="003A2434">
        <w:rPr>
          <w:rFonts w:ascii="Avenir Book" w:hAnsi="Avenir Book"/>
        </w:rPr>
        <w:t>The presence of a fetal heart beat and/or yolk sac is noted on the ultrasound form if present.</w:t>
      </w:r>
    </w:p>
    <w:p w14:paraId="4FA1E6D0" w14:textId="77777777" w:rsidR="00967675" w:rsidRPr="003A2434" w:rsidRDefault="00967675" w:rsidP="00967675">
      <w:pPr>
        <w:spacing w:after="120"/>
        <w:rPr>
          <w:rFonts w:ascii="Avenir Book" w:hAnsi="Avenir Book"/>
        </w:rPr>
      </w:pPr>
    </w:p>
    <w:p w14:paraId="10F6F358" w14:textId="27C33B9E" w:rsidR="009626DA" w:rsidRPr="003A2434" w:rsidRDefault="009626DA" w:rsidP="00967675">
      <w:pPr>
        <w:pStyle w:val="BodyText"/>
        <w:rPr>
          <w:rFonts w:ascii="Avenir Book" w:hAnsi="Avenir Book"/>
        </w:rPr>
      </w:pPr>
      <w:r w:rsidRPr="003A2434">
        <w:rPr>
          <w:rFonts w:ascii="Avenir Book" w:hAnsi="Avenir Book"/>
        </w:rPr>
        <w:t>A patient qualifies for a medical abortion with mifepristone if an intrauterine pregnancy is identified with a gestational sac, a yolk sac and/or embryo, and the EGA is less than or equal to 1</w:t>
      </w:r>
      <w:r w:rsidR="008C1901">
        <w:rPr>
          <w:rFonts w:ascii="Avenir Book" w:hAnsi="Avenir Book"/>
        </w:rPr>
        <w:t>1</w:t>
      </w:r>
      <w:r w:rsidRPr="003A2434">
        <w:rPr>
          <w:rFonts w:ascii="Avenir Book" w:hAnsi="Avenir Book"/>
        </w:rPr>
        <w:t xml:space="preserve"> weeks by Hadlock. </w:t>
      </w:r>
    </w:p>
    <w:p w14:paraId="6CE2275F" w14:textId="77777777" w:rsidR="009626DA" w:rsidRPr="003A2434" w:rsidRDefault="009626DA" w:rsidP="00967675">
      <w:pPr>
        <w:pStyle w:val="BodyText"/>
        <w:rPr>
          <w:rFonts w:ascii="Avenir Book" w:hAnsi="Avenir Book"/>
        </w:rPr>
      </w:pPr>
      <w:r w:rsidRPr="003A2434">
        <w:rPr>
          <w:rFonts w:ascii="Avenir Book" w:hAnsi="Avenir Book"/>
        </w:rPr>
        <w:t xml:space="preserve">If no gestational sac is noted, the patient is low risk for ectopic pregnancy, reliable for follow up and the </w:t>
      </w:r>
      <w:proofErr w:type="spellStart"/>
      <w:r w:rsidRPr="003A2434">
        <w:rPr>
          <w:rFonts w:ascii="Avenir Book" w:hAnsi="Avenir Book"/>
        </w:rPr>
        <w:t>adnexae</w:t>
      </w:r>
      <w:proofErr w:type="spellEnd"/>
      <w:r w:rsidRPr="003A2434">
        <w:rPr>
          <w:rFonts w:ascii="Avenir Book" w:hAnsi="Avenir Book"/>
        </w:rPr>
        <w:t xml:space="preserve"> is normal on physical examination, the patient may be given the option to:</w:t>
      </w:r>
    </w:p>
    <w:p w14:paraId="3B0D4E64" w14:textId="77777777" w:rsidR="009626DA" w:rsidRPr="003A2434" w:rsidRDefault="009626DA" w:rsidP="00967675">
      <w:pPr>
        <w:numPr>
          <w:ilvl w:val="0"/>
          <w:numId w:val="37"/>
        </w:numPr>
        <w:spacing w:after="120"/>
        <w:rPr>
          <w:rFonts w:ascii="Avenir Book" w:hAnsi="Avenir Book"/>
        </w:rPr>
      </w:pPr>
      <w:r w:rsidRPr="003A2434">
        <w:rPr>
          <w:rFonts w:ascii="Avenir Book" w:hAnsi="Avenir Book"/>
        </w:rPr>
        <w:t xml:space="preserve">Receive mifepristone. A </w:t>
      </w:r>
      <w:proofErr w:type="spellStart"/>
      <w:r w:rsidRPr="003A2434">
        <w:rPr>
          <w:rFonts w:ascii="Avenir Book" w:hAnsi="Avenir Book"/>
        </w:rPr>
        <w:t>BhCG</w:t>
      </w:r>
      <w:proofErr w:type="spellEnd"/>
      <w:r w:rsidRPr="003A2434">
        <w:rPr>
          <w:rFonts w:ascii="Avenir Book" w:hAnsi="Avenir Book"/>
        </w:rPr>
        <w:t xml:space="preserve"> must be drawn and checked within 24 hours to confirm that it is less than 2000.  The </w:t>
      </w:r>
      <w:proofErr w:type="spellStart"/>
      <w:r w:rsidRPr="003A2434">
        <w:rPr>
          <w:rFonts w:ascii="Avenir Book" w:hAnsi="Avenir Book"/>
        </w:rPr>
        <w:t>BhCG</w:t>
      </w:r>
      <w:proofErr w:type="spellEnd"/>
      <w:r w:rsidRPr="003A2434">
        <w:rPr>
          <w:rFonts w:ascii="Avenir Book" w:hAnsi="Avenir Book"/>
        </w:rPr>
        <w:t xml:space="preserve"> must be followed on the next visit by obtaining a negative urine test or by following serum levels.  Bleeding and a drop of </w:t>
      </w:r>
      <w:proofErr w:type="spellStart"/>
      <w:r w:rsidRPr="003A2434">
        <w:rPr>
          <w:rFonts w:ascii="Avenir Book" w:hAnsi="Avenir Book"/>
        </w:rPr>
        <w:t>BhCG</w:t>
      </w:r>
      <w:proofErr w:type="spellEnd"/>
      <w:r w:rsidRPr="003A2434">
        <w:rPr>
          <w:rFonts w:ascii="Avenir Book" w:hAnsi="Avenir Book"/>
        </w:rPr>
        <w:t xml:space="preserve"> by more than 50% confirm a successful abortion with mifepristone.  If the initial </w:t>
      </w:r>
      <w:proofErr w:type="spellStart"/>
      <w:r w:rsidRPr="003A2434">
        <w:rPr>
          <w:rFonts w:ascii="Avenir Book" w:hAnsi="Avenir Book"/>
        </w:rPr>
        <w:t>BhCG</w:t>
      </w:r>
      <w:proofErr w:type="spellEnd"/>
      <w:r w:rsidRPr="003A2434">
        <w:rPr>
          <w:rFonts w:ascii="Avenir Book" w:hAnsi="Avenir Book"/>
        </w:rPr>
        <w:t xml:space="preserve"> is greater than 2000, or there is no bleeding, and/or a lesser drop in </w:t>
      </w:r>
      <w:proofErr w:type="spellStart"/>
      <w:r w:rsidRPr="003A2434">
        <w:rPr>
          <w:rFonts w:ascii="Avenir Book" w:hAnsi="Avenir Book"/>
        </w:rPr>
        <w:t>BhCG</w:t>
      </w:r>
      <w:proofErr w:type="spellEnd"/>
      <w:r w:rsidRPr="003A2434">
        <w:rPr>
          <w:rFonts w:ascii="Avenir Book" w:hAnsi="Avenir Book"/>
        </w:rPr>
        <w:t xml:space="preserve"> levels, an ectopic pregnancy must be ruled out. </w:t>
      </w:r>
    </w:p>
    <w:p w14:paraId="74812762" w14:textId="1C9753B9" w:rsidR="009626DA" w:rsidRPr="00967675" w:rsidRDefault="009626DA" w:rsidP="00967675">
      <w:pPr>
        <w:pStyle w:val="ListParagraph"/>
        <w:numPr>
          <w:ilvl w:val="0"/>
          <w:numId w:val="37"/>
        </w:numPr>
        <w:spacing w:after="120"/>
        <w:contextualSpacing w:val="0"/>
        <w:rPr>
          <w:rFonts w:ascii="Avenir Book" w:hAnsi="Avenir Book"/>
        </w:rPr>
      </w:pPr>
      <w:r w:rsidRPr="003A2434">
        <w:rPr>
          <w:rFonts w:ascii="Avenir Book" w:hAnsi="Avenir Book"/>
        </w:rPr>
        <w:t xml:space="preserve">Perform an MVA.  If a sac or villi are not identified, the patient will have </w:t>
      </w:r>
      <w:proofErr w:type="spellStart"/>
      <w:r w:rsidRPr="003A2434">
        <w:rPr>
          <w:rFonts w:ascii="Avenir Book" w:hAnsi="Avenir Book"/>
        </w:rPr>
        <w:t>BhCG</w:t>
      </w:r>
      <w:proofErr w:type="spellEnd"/>
      <w:r w:rsidRPr="003A2434">
        <w:rPr>
          <w:rFonts w:ascii="Avenir Book" w:hAnsi="Avenir Book"/>
        </w:rPr>
        <w:t xml:space="preserve"> levels drawn and phone follow up the next day.  Depending upon the result, the patient may need a repeat quant or treatment with methotrexate or referral for ectopic pregnancy.</w:t>
      </w:r>
    </w:p>
    <w:p w14:paraId="785091A7" w14:textId="3EDD6EA6" w:rsidR="009626DA" w:rsidRPr="00990BB9" w:rsidRDefault="009626DA" w:rsidP="00967675">
      <w:pPr>
        <w:pStyle w:val="BodyText"/>
        <w:rPr>
          <w:rFonts w:ascii="Avenir Book" w:hAnsi="Avenir Book"/>
          <w:u w:val="single"/>
        </w:rPr>
      </w:pPr>
      <w:r w:rsidRPr="00990BB9">
        <w:rPr>
          <w:rFonts w:ascii="Avenir Book" w:hAnsi="Avenir Book"/>
          <w:u w:val="single"/>
        </w:rPr>
        <w:t xml:space="preserve">6. Providing Mifepristone without an ultrasound exam: </w:t>
      </w:r>
    </w:p>
    <w:p w14:paraId="45F0BE49" w14:textId="77777777" w:rsidR="009626DA" w:rsidRPr="003A2434" w:rsidRDefault="009626DA" w:rsidP="00967675">
      <w:pPr>
        <w:pStyle w:val="BodyText"/>
        <w:rPr>
          <w:rFonts w:ascii="Avenir Book" w:hAnsi="Avenir Book"/>
        </w:rPr>
      </w:pPr>
      <w:r w:rsidRPr="003A2434">
        <w:rPr>
          <w:rFonts w:ascii="Avenir Book" w:hAnsi="Avenir Book"/>
        </w:rPr>
        <w:t>Patients may receive Mifepristone without an ultrasound exam who have all of the following:</w:t>
      </w:r>
    </w:p>
    <w:p w14:paraId="3FC0D1DC" w14:textId="07D2E382" w:rsidR="009626DA" w:rsidRPr="003A2434" w:rsidRDefault="009626DA" w:rsidP="00967675">
      <w:pPr>
        <w:pStyle w:val="BodyText"/>
        <w:ind w:firstLine="720"/>
        <w:rPr>
          <w:rFonts w:ascii="Avenir Book" w:hAnsi="Avenir Book"/>
        </w:rPr>
      </w:pPr>
      <w:r w:rsidRPr="003A2434">
        <w:rPr>
          <w:rFonts w:ascii="Avenir Book" w:hAnsi="Avenir Book"/>
        </w:rPr>
        <w:t xml:space="preserve">1) Have a known LMP and a calculated GA </w:t>
      </w:r>
      <w:r w:rsidR="00AC5A1B">
        <w:rPr>
          <w:rFonts w:ascii="Avenir Book" w:hAnsi="Avenir Book"/>
        </w:rPr>
        <w:t>7</w:t>
      </w:r>
      <w:r w:rsidR="008C1901">
        <w:rPr>
          <w:rFonts w:ascii="Avenir Book" w:hAnsi="Avenir Book"/>
        </w:rPr>
        <w:t>7</w:t>
      </w:r>
      <w:r w:rsidR="00AC5A1B" w:rsidRPr="003A2434">
        <w:rPr>
          <w:rFonts w:ascii="Avenir Book" w:hAnsi="Avenir Book"/>
        </w:rPr>
        <w:t xml:space="preserve"> </w:t>
      </w:r>
      <w:r w:rsidRPr="003A2434">
        <w:rPr>
          <w:rFonts w:ascii="Avenir Book" w:hAnsi="Avenir Book"/>
        </w:rPr>
        <w:t>days or less</w:t>
      </w:r>
    </w:p>
    <w:p w14:paraId="633FA881" w14:textId="77777777" w:rsidR="009626DA" w:rsidRPr="003A2434" w:rsidRDefault="009626DA" w:rsidP="00967675">
      <w:pPr>
        <w:pStyle w:val="BodyText"/>
        <w:ind w:firstLine="720"/>
        <w:rPr>
          <w:rFonts w:ascii="Avenir Book" w:hAnsi="Avenir Book"/>
        </w:rPr>
      </w:pPr>
      <w:r w:rsidRPr="003A2434">
        <w:rPr>
          <w:rFonts w:ascii="Avenir Book" w:hAnsi="Avenir Book"/>
        </w:rPr>
        <w:t>2) Were not on OCPs or breastfeeding prior to conception</w:t>
      </w:r>
    </w:p>
    <w:p w14:paraId="1C3056ED" w14:textId="77777777" w:rsidR="009626DA" w:rsidRPr="003A2434" w:rsidRDefault="009626DA" w:rsidP="00967675">
      <w:pPr>
        <w:pStyle w:val="BodyText"/>
        <w:ind w:left="360"/>
        <w:rPr>
          <w:rFonts w:ascii="Avenir Book" w:hAnsi="Avenir Book"/>
        </w:rPr>
      </w:pPr>
      <w:r w:rsidRPr="003A2434">
        <w:rPr>
          <w:rFonts w:ascii="Avenir Book" w:hAnsi="Avenir Book"/>
        </w:rPr>
        <w:t xml:space="preserve">      3) Have regular menses</w:t>
      </w:r>
    </w:p>
    <w:p w14:paraId="05837175" w14:textId="77777777" w:rsidR="009626DA" w:rsidRPr="003A2434" w:rsidRDefault="009626DA" w:rsidP="00967675">
      <w:pPr>
        <w:pStyle w:val="BodyText"/>
        <w:ind w:left="360"/>
        <w:rPr>
          <w:rFonts w:ascii="Avenir Book" w:hAnsi="Avenir Book"/>
        </w:rPr>
      </w:pPr>
      <w:r w:rsidRPr="003A2434">
        <w:rPr>
          <w:rFonts w:ascii="Avenir Book" w:hAnsi="Avenir Book"/>
        </w:rPr>
        <w:t xml:space="preserve">      4) Are low risk for ectopic</w:t>
      </w:r>
    </w:p>
    <w:p w14:paraId="1EA44131" w14:textId="77777777" w:rsidR="009626DA" w:rsidRPr="003A2434" w:rsidRDefault="009626DA" w:rsidP="00967675">
      <w:pPr>
        <w:pStyle w:val="BodyText"/>
        <w:ind w:left="360" w:firstLine="360"/>
        <w:rPr>
          <w:rFonts w:ascii="Avenir Book" w:hAnsi="Avenir Book"/>
        </w:rPr>
      </w:pPr>
      <w:r w:rsidRPr="003A2434">
        <w:rPr>
          <w:rFonts w:ascii="Avenir Book" w:hAnsi="Avenir Book"/>
        </w:rPr>
        <w:t xml:space="preserve">5) Are reliable to follow up </w:t>
      </w:r>
    </w:p>
    <w:p w14:paraId="3C5D2452" w14:textId="71695910" w:rsidR="009626DA" w:rsidRPr="003A2434" w:rsidRDefault="009626DA" w:rsidP="00967675">
      <w:pPr>
        <w:pStyle w:val="BodyText"/>
        <w:ind w:left="360"/>
        <w:rPr>
          <w:rFonts w:ascii="Avenir Book" w:hAnsi="Avenir Book"/>
        </w:rPr>
      </w:pPr>
      <w:r w:rsidRPr="003A2434">
        <w:rPr>
          <w:rFonts w:ascii="Avenir Book" w:hAnsi="Avenir Book"/>
        </w:rPr>
        <w:t xml:space="preserve">A quantitative </w:t>
      </w:r>
      <w:proofErr w:type="spellStart"/>
      <w:r w:rsidR="00785AA6">
        <w:rPr>
          <w:rFonts w:ascii="Avenir Book" w:hAnsi="Avenir Book"/>
        </w:rPr>
        <w:t>h</w:t>
      </w:r>
      <w:r w:rsidRPr="003A2434">
        <w:rPr>
          <w:rFonts w:ascii="Avenir Book" w:hAnsi="Avenir Book"/>
        </w:rPr>
        <w:t>CG</w:t>
      </w:r>
      <w:proofErr w:type="spellEnd"/>
      <w:r w:rsidRPr="003A2434">
        <w:rPr>
          <w:rFonts w:ascii="Avenir Book" w:hAnsi="Avenir Book"/>
        </w:rPr>
        <w:t xml:space="preserve"> titer must be drawn and repeated at the follow up visit.  A greater than 50% drop in value is expected at one week.</w:t>
      </w:r>
    </w:p>
    <w:p w14:paraId="42115EFE" w14:textId="75C3F578" w:rsidR="009626DA" w:rsidRPr="00967675" w:rsidRDefault="009626DA" w:rsidP="00967675">
      <w:pPr>
        <w:spacing w:after="120"/>
        <w:rPr>
          <w:rFonts w:ascii="Avenir Book" w:hAnsi="Avenir Book"/>
          <w:u w:val="single"/>
        </w:rPr>
      </w:pPr>
      <w:r w:rsidRPr="00990BB9">
        <w:rPr>
          <w:rFonts w:ascii="Avenir Book" w:hAnsi="Avenir Book"/>
          <w:u w:val="single"/>
        </w:rPr>
        <w:t>7. Rh status, and micro-</w:t>
      </w:r>
      <w:proofErr w:type="spellStart"/>
      <w:r w:rsidRPr="00990BB9">
        <w:rPr>
          <w:rFonts w:ascii="Avenir Book" w:hAnsi="Avenir Book"/>
          <w:u w:val="single"/>
        </w:rPr>
        <w:t>rhogam</w:t>
      </w:r>
      <w:proofErr w:type="spellEnd"/>
      <w:r w:rsidRPr="00990BB9">
        <w:rPr>
          <w:rFonts w:ascii="Avenir Book" w:hAnsi="Avenir Book"/>
          <w:u w:val="single"/>
        </w:rPr>
        <w:t xml:space="preserve"> administration:</w:t>
      </w:r>
      <w:r w:rsidRPr="00990BB9">
        <w:rPr>
          <w:rFonts w:ascii="Avenir Book" w:hAnsi="Avenir Book"/>
        </w:rPr>
        <w:t xml:space="preserve"> </w:t>
      </w:r>
      <w:r w:rsidR="00990BB9" w:rsidRPr="00990BB9">
        <w:rPr>
          <w:rFonts w:ascii="Avenir Book" w:hAnsi="Avenir Book"/>
        </w:rPr>
        <w:t xml:space="preserve">   </w:t>
      </w:r>
      <w:r w:rsidRPr="00631615">
        <w:rPr>
          <w:rFonts w:ascii="Avenir Book" w:hAnsi="Avenir Book"/>
          <w:color w:val="000000"/>
        </w:rPr>
        <w:t xml:space="preserve">A blood test, blood donor card, or a patient’s records should document Rh status.  If a patient does not have a documented Rh status, </w:t>
      </w:r>
      <w:r w:rsidR="00AD5500">
        <w:rPr>
          <w:rFonts w:ascii="Avenir Book" w:hAnsi="Avenir Book"/>
          <w:color w:val="000000"/>
        </w:rPr>
        <w:t>the patient</w:t>
      </w:r>
      <w:r w:rsidRPr="00631615">
        <w:rPr>
          <w:rFonts w:ascii="Avenir Book" w:hAnsi="Avenir Book"/>
          <w:color w:val="000000"/>
        </w:rPr>
        <w:t xml:space="preserve"> has the option of having </w:t>
      </w:r>
      <w:r w:rsidR="00791D5E">
        <w:rPr>
          <w:rFonts w:ascii="Avenir Book" w:hAnsi="Avenir Book"/>
          <w:color w:val="000000"/>
        </w:rPr>
        <w:t>their</w:t>
      </w:r>
      <w:r w:rsidRPr="00631615">
        <w:rPr>
          <w:rFonts w:ascii="Avenir Book" w:hAnsi="Avenir Book"/>
          <w:color w:val="000000"/>
        </w:rPr>
        <w:t xml:space="preserve"> blood sent to a lab for testing. A patient may opt out of this testing if </w:t>
      </w:r>
      <w:r w:rsidR="00AD5500">
        <w:rPr>
          <w:rFonts w:ascii="Avenir Book" w:hAnsi="Avenir Book"/>
          <w:color w:val="000000"/>
        </w:rPr>
        <w:t>the patient</w:t>
      </w:r>
      <w:r w:rsidRPr="00631615">
        <w:rPr>
          <w:rFonts w:ascii="Avenir Book" w:hAnsi="Avenir Book"/>
          <w:color w:val="000000"/>
        </w:rPr>
        <w:t xml:space="preserve"> and </w:t>
      </w:r>
      <w:r w:rsidR="00791D5E">
        <w:rPr>
          <w:rFonts w:ascii="Avenir Book" w:hAnsi="Avenir Book"/>
          <w:color w:val="000000"/>
        </w:rPr>
        <w:t>their</w:t>
      </w:r>
      <w:r w:rsidRPr="00631615">
        <w:rPr>
          <w:rFonts w:ascii="Avenir Book" w:hAnsi="Avenir Book"/>
          <w:color w:val="000000"/>
        </w:rPr>
        <w:t xml:space="preserve"> provider determine </w:t>
      </w:r>
      <w:r w:rsidR="00AD5500">
        <w:rPr>
          <w:rFonts w:ascii="Avenir Book" w:hAnsi="Avenir Book"/>
          <w:color w:val="000000"/>
        </w:rPr>
        <w:t>the patient</w:t>
      </w:r>
      <w:r w:rsidRPr="00631615">
        <w:rPr>
          <w:rFonts w:ascii="Avenir Book" w:hAnsi="Avenir Book"/>
          <w:color w:val="000000"/>
        </w:rPr>
        <w:t xml:space="preserve"> knows </w:t>
      </w:r>
      <w:r w:rsidR="00791D5E">
        <w:rPr>
          <w:rFonts w:ascii="Avenir Book" w:hAnsi="Avenir Book"/>
          <w:color w:val="000000"/>
        </w:rPr>
        <w:t>their</w:t>
      </w:r>
      <w:r w:rsidRPr="00631615">
        <w:rPr>
          <w:rFonts w:ascii="Avenir Book" w:hAnsi="Avenir Book"/>
          <w:color w:val="000000"/>
        </w:rPr>
        <w:t xml:space="preserve"> Rh status from previous experience (i</w:t>
      </w:r>
      <w:r w:rsidR="00967675">
        <w:rPr>
          <w:rFonts w:ascii="Avenir Book" w:hAnsi="Avenir Book"/>
          <w:color w:val="000000"/>
        </w:rPr>
        <w:t>.</w:t>
      </w:r>
      <w:r w:rsidRPr="00631615">
        <w:rPr>
          <w:rFonts w:ascii="Avenir Book" w:hAnsi="Avenir Book"/>
          <w:color w:val="000000"/>
        </w:rPr>
        <w:t>e</w:t>
      </w:r>
      <w:r w:rsidR="00967675">
        <w:rPr>
          <w:rFonts w:ascii="Avenir Book" w:hAnsi="Avenir Book"/>
          <w:color w:val="000000"/>
        </w:rPr>
        <w:t>.</w:t>
      </w:r>
      <w:r w:rsidRPr="00631615">
        <w:rPr>
          <w:rFonts w:ascii="Avenir Book" w:hAnsi="Avenir Book"/>
          <w:color w:val="000000"/>
        </w:rPr>
        <w:t xml:space="preserve"> </w:t>
      </w:r>
      <w:r w:rsidR="00AD5500">
        <w:rPr>
          <w:rFonts w:ascii="Avenir Book" w:hAnsi="Avenir Book"/>
          <w:color w:val="000000"/>
        </w:rPr>
        <w:t>the patient</w:t>
      </w:r>
      <w:r w:rsidRPr="00631615">
        <w:rPr>
          <w:rFonts w:ascii="Avenir Book" w:hAnsi="Avenir Book"/>
          <w:color w:val="000000"/>
        </w:rPr>
        <w:t xml:space="preserve"> recalls prior pregnancies with no special injections, or </w:t>
      </w:r>
      <w:r w:rsidR="00AD5500">
        <w:rPr>
          <w:rFonts w:ascii="Avenir Book" w:hAnsi="Avenir Book"/>
          <w:color w:val="000000"/>
        </w:rPr>
        <w:t>the patient</w:t>
      </w:r>
      <w:r w:rsidRPr="00631615">
        <w:rPr>
          <w:rFonts w:ascii="Avenir Book" w:hAnsi="Avenir Book"/>
          <w:color w:val="000000"/>
        </w:rPr>
        <w:t xml:space="preserve"> recalls being told </w:t>
      </w:r>
      <w:r w:rsidR="00AD5500">
        <w:rPr>
          <w:rFonts w:ascii="Avenir Book" w:hAnsi="Avenir Book"/>
          <w:color w:val="000000"/>
        </w:rPr>
        <w:t>they</w:t>
      </w:r>
      <w:r w:rsidRPr="00631615">
        <w:rPr>
          <w:rFonts w:ascii="Avenir Book" w:hAnsi="Avenir Book"/>
          <w:color w:val="000000"/>
        </w:rPr>
        <w:t xml:space="preserve"> would always need injections during pregnancy) or if the patient does not want to be tested. </w:t>
      </w:r>
      <w:r w:rsidRPr="00631615">
        <w:rPr>
          <w:rFonts w:ascii="Avenir Book" w:hAnsi="Avenir Book"/>
          <w:color w:val="000000"/>
        </w:rPr>
        <w:lastRenderedPageBreak/>
        <w:t xml:space="preserve">In that case, provider must document the discussion regarding risks and benefits of declining Rh testing.  Patient recall is acceptable proof for Rh negative status, and </w:t>
      </w:r>
      <w:proofErr w:type="spellStart"/>
      <w:r w:rsidRPr="00631615">
        <w:rPr>
          <w:rFonts w:ascii="Avenir Book" w:hAnsi="Avenir Book"/>
          <w:color w:val="000000"/>
        </w:rPr>
        <w:t>microRhogam</w:t>
      </w:r>
      <w:proofErr w:type="spellEnd"/>
      <w:r w:rsidRPr="00631615">
        <w:rPr>
          <w:rFonts w:ascii="Avenir Book" w:hAnsi="Avenir Book"/>
          <w:color w:val="000000"/>
        </w:rPr>
        <w:t xml:space="preserve"> should be administered on the day of procedure even if lab testing is not available. If a patient opts for Rh testing and is Rh negative, </w:t>
      </w:r>
      <w:r w:rsidR="00AD5500">
        <w:rPr>
          <w:rFonts w:ascii="Avenir Book" w:hAnsi="Avenir Book"/>
          <w:color w:val="000000"/>
        </w:rPr>
        <w:t>they</w:t>
      </w:r>
      <w:r w:rsidRPr="00631615">
        <w:rPr>
          <w:rFonts w:ascii="Avenir Book" w:hAnsi="Avenir Book"/>
          <w:color w:val="000000"/>
        </w:rPr>
        <w:t xml:space="preserve"> will be contacted and needs to return to the clinic within 72 hours to receive </w:t>
      </w:r>
      <w:proofErr w:type="spellStart"/>
      <w:r w:rsidRPr="00631615">
        <w:rPr>
          <w:rFonts w:ascii="Avenir Book" w:hAnsi="Avenir Book"/>
          <w:color w:val="000000"/>
        </w:rPr>
        <w:t>microRhogam</w:t>
      </w:r>
      <w:proofErr w:type="spellEnd"/>
      <w:r w:rsidRPr="00631615">
        <w:rPr>
          <w:rFonts w:ascii="Avenir Book" w:hAnsi="Avenir Book"/>
          <w:color w:val="000000"/>
        </w:rPr>
        <w:t>. </w:t>
      </w:r>
    </w:p>
    <w:p w14:paraId="6068EDCA" w14:textId="43A69B5D" w:rsidR="009626DA" w:rsidRPr="003A2434" w:rsidRDefault="009626DA" w:rsidP="00967675">
      <w:pPr>
        <w:spacing w:after="120"/>
        <w:rPr>
          <w:rFonts w:ascii="Avenir Book" w:hAnsi="Avenir Book"/>
        </w:rPr>
      </w:pPr>
      <w:r w:rsidRPr="00990BB9">
        <w:rPr>
          <w:rFonts w:ascii="Avenir Book" w:hAnsi="Avenir Book"/>
          <w:u w:val="single"/>
        </w:rPr>
        <w:t>8. Consent:</w:t>
      </w:r>
      <w:r w:rsidRPr="003A2434">
        <w:rPr>
          <w:rFonts w:ascii="Avenir Book" w:hAnsi="Avenir Book"/>
        </w:rPr>
        <w:t xml:space="preserve"> The provider will explain the </w:t>
      </w:r>
      <w:r w:rsidR="00AD5500" w:rsidRPr="00967675">
        <w:rPr>
          <w:rFonts w:ascii="Avenir Book" w:hAnsi="Avenir Book"/>
          <w:i/>
        </w:rPr>
        <w:t>Name of Institution</w:t>
      </w:r>
      <w:r w:rsidR="00AD5500" w:rsidRPr="003A2434">
        <w:rPr>
          <w:rFonts w:ascii="Avenir Book" w:hAnsi="Avenir Book"/>
        </w:rPr>
        <w:t xml:space="preserve"> </w:t>
      </w:r>
      <w:r w:rsidRPr="003A2434">
        <w:rPr>
          <w:rFonts w:ascii="Avenir Book" w:hAnsi="Avenir Book"/>
        </w:rPr>
        <w:t xml:space="preserve">consent and the </w:t>
      </w:r>
      <w:proofErr w:type="spellStart"/>
      <w:r w:rsidRPr="003A2434">
        <w:rPr>
          <w:rFonts w:ascii="Avenir Book" w:hAnsi="Avenir Book"/>
        </w:rPr>
        <w:t>Danco</w:t>
      </w:r>
      <w:proofErr w:type="spellEnd"/>
      <w:r w:rsidRPr="003A2434">
        <w:rPr>
          <w:rFonts w:ascii="Avenir Book" w:hAnsi="Avenir Book"/>
        </w:rPr>
        <w:t xml:space="preserve"> patient agreement. The clinician will also sign the documents and it will be scanned into the record. </w:t>
      </w:r>
    </w:p>
    <w:p w14:paraId="609747A1" w14:textId="7F0EB915" w:rsidR="009626DA" w:rsidRPr="003A2434" w:rsidRDefault="009626DA" w:rsidP="00967675">
      <w:pPr>
        <w:spacing w:after="120"/>
        <w:rPr>
          <w:rFonts w:ascii="Avenir Book" w:hAnsi="Avenir Book"/>
        </w:rPr>
      </w:pPr>
      <w:r w:rsidRPr="00967675">
        <w:rPr>
          <w:rFonts w:ascii="Avenir Book" w:hAnsi="Avenir Book"/>
          <w:u w:val="single"/>
        </w:rPr>
        <w:t>9. Medications:</w:t>
      </w:r>
      <w:r w:rsidRPr="003A2434">
        <w:rPr>
          <w:rFonts w:ascii="Avenir Book" w:hAnsi="Avenir Book"/>
        </w:rPr>
        <w:t xml:space="preserve"> The patient will be given mifepristone, a 200 mg. tablet. Patients will be given the instruction sheet for taking either vaginal or buccal misoprostol. Four misoprostol tablets will be dispensed for home. Patients will be instructed to self administer the four 200 mcg tablets of misoprostol vagi</w:t>
      </w:r>
      <w:r w:rsidR="00967675">
        <w:rPr>
          <w:rFonts w:ascii="Avenir Book" w:hAnsi="Avenir Book"/>
        </w:rPr>
        <w:t xml:space="preserve">nally or buccally. Misoprostol </w:t>
      </w:r>
      <w:r w:rsidRPr="003A2434">
        <w:rPr>
          <w:rFonts w:ascii="Avenir Book" w:hAnsi="Avenir Book"/>
        </w:rPr>
        <w:t>can be used vaginally</w:t>
      </w:r>
      <w:r w:rsidR="00AD5500">
        <w:rPr>
          <w:rFonts w:ascii="Avenir Book" w:hAnsi="Avenir Book"/>
        </w:rPr>
        <w:t xml:space="preserve"> between 6</w:t>
      </w:r>
      <w:r w:rsidRPr="003A2434">
        <w:rPr>
          <w:rFonts w:ascii="Avenir Book" w:hAnsi="Avenir Book"/>
        </w:rPr>
        <w:t xml:space="preserve"> and 72 hours after mifepristone.  Misoprostol can be used buccally 24-48 hours</w:t>
      </w:r>
      <w:r w:rsidR="00AC5A1B">
        <w:rPr>
          <w:rFonts w:ascii="Avenir Book" w:hAnsi="Avenir Book"/>
        </w:rPr>
        <w:t xml:space="preserve"> after mifepristone</w:t>
      </w:r>
      <w:r w:rsidRPr="003A2434">
        <w:rPr>
          <w:rFonts w:ascii="Avenir Book" w:hAnsi="Avenir Book"/>
        </w:rPr>
        <w:t xml:space="preserve">. Pain management will be discussed. Ibuprofen 800mg may be taken by patients around the time of the misoprostol insertion, if there is no contraindication. A prescription for Acetaminophen with codeine or hydrocodone </w:t>
      </w:r>
      <w:r w:rsidR="00AC5A1B">
        <w:rPr>
          <w:rFonts w:ascii="Avenir Book" w:hAnsi="Avenir Book"/>
        </w:rPr>
        <w:t>may</w:t>
      </w:r>
      <w:r w:rsidR="00AC5A1B" w:rsidRPr="003A2434">
        <w:rPr>
          <w:rFonts w:ascii="Avenir Book" w:hAnsi="Avenir Book"/>
        </w:rPr>
        <w:t xml:space="preserve"> </w:t>
      </w:r>
      <w:r w:rsidRPr="003A2434">
        <w:rPr>
          <w:rFonts w:ascii="Avenir Book" w:hAnsi="Avenir Book"/>
        </w:rPr>
        <w:t xml:space="preserve">also be offered. </w:t>
      </w:r>
    </w:p>
    <w:p w14:paraId="788D42DE" w14:textId="4F73BDE9" w:rsidR="009626DA" w:rsidRPr="003A2434" w:rsidRDefault="009626DA" w:rsidP="00967675">
      <w:pPr>
        <w:spacing w:after="120"/>
        <w:rPr>
          <w:rFonts w:ascii="Avenir Book" w:hAnsi="Avenir Book"/>
        </w:rPr>
      </w:pPr>
      <w:r w:rsidRPr="00990BB9">
        <w:rPr>
          <w:rFonts w:ascii="Avenir Book" w:hAnsi="Avenir Book"/>
          <w:u w:val="single"/>
        </w:rPr>
        <w:t>10. Contraception:</w:t>
      </w:r>
      <w:r w:rsidRPr="003A2434">
        <w:rPr>
          <w:rFonts w:ascii="Avenir Book" w:hAnsi="Avenir Book"/>
        </w:rPr>
        <w:t xml:space="preserve"> Contraceptive options will be addressed at this visit. Oral contraceptive pills, the patch or the ring can be started the day after misoprostol use. </w:t>
      </w:r>
      <w:r w:rsidR="00967675">
        <w:rPr>
          <w:rFonts w:ascii="Avenir Book" w:hAnsi="Avenir Book"/>
        </w:rPr>
        <w:t>A contraceptive implant</w:t>
      </w:r>
      <w:r w:rsidRPr="003A2434">
        <w:rPr>
          <w:rFonts w:ascii="Avenir Book" w:hAnsi="Avenir Book"/>
        </w:rPr>
        <w:t xml:space="preserve"> can be inserted on the day of mifepristone administration if the patient desires. Upon follow up the patient may be administered </w:t>
      </w:r>
      <w:r w:rsidR="00AD5500">
        <w:rPr>
          <w:rFonts w:ascii="Avenir Book" w:hAnsi="Avenir Book"/>
        </w:rPr>
        <w:t>a progestin injection</w:t>
      </w:r>
      <w:r w:rsidRPr="003A2434">
        <w:rPr>
          <w:rFonts w:ascii="Avenir Book" w:hAnsi="Avenir Book"/>
        </w:rPr>
        <w:t xml:space="preserve"> or an IUD can be inserted. Condom use will be reviewed. </w:t>
      </w:r>
    </w:p>
    <w:p w14:paraId="06F94B7B" w14:textId="406EB42A" w:rsidR="009626DA" w:rsidRPr="003A2434" w:rsidRDefault="00990BB9" w:rsidP="00967675">
      <w:pPr>
        <w:spacing w:after="120"/>
        <w:rPr>
          <w:rFonts w:ascii="Avenir Book" w:hAnsi="Avenir Book"/>
        </w:rPr>
      </w:pPr>
      <w:r>
        <w:rPr>
          <w:rFonts w:ascii="Avenir Book" w:hAnsi="Avenir Book"/>
          <w:u w:val="single"/>
        </w:rPr>
        <w:t>11</w:t>
      </w:r>
      <w:r w:rsidR="009626DA" w:rsidRPr="00990BB9">
        <w:rPr>
          <w:rFonts w:ascii="Avenir Book" w:hAnsi="Avenir Book"/>
          <w:u w:val="single"/>
        </w:rPr>
        <w:t>. Patient Education:</w:t>
      </w:r>
      <w:r w:rsidR="009626DA" w:rsidRPr="003A2434">
        <w:rPr>
          <w:rFonts w:ascii="Avenir Book" w:hAnsi="Avenir Book"/>
        </w:rPr>
        <w:t xml:space="preserve"> Patients will be given the take home instruction sheet for the </w:t>
      </w:r>
      <w:hyperlink r:id="rId7" w:history="1">
        <w:r w:rsidR="009626DA" w:rsidRPr="003B2DA1">
          <w:rPr>
            <w:rStyle w:val="Hyperlink"/>
            <w:rFonts w:ascii="Avenir Book" w:hAnsi="Avenir Book"/>
          </w:rPr>
          <w:t>buccal</w:t>
        </w:r>
      </w:hyperlink>
      <w:r w:rsidR="009626DA" w:rsidRPr="003A2434">
        <w:rPr>
          <w:rFonts w:ascii="Avenir Book" w:hAnsi="Avenir Book"/>
        </w:rPr>
        <w:t xml:space="preserve"> or </w:t>
      </w:r>
      <w:hyperlink r:id="rId8" w:history="1">
        <w:r w:rsidR="009626DA" w:rsidRPr="003B2DA1">
          <w:rPr>
            <w:rStyle w:val="Hyperlink"/>
            <w:rFonts w:ascii="Avenir Book" w:hAnsi="Avenir Book"/>
          </w:rPr>
          <w:t>vaginal</w:t>
        </w:r>
      </w:hyperlink>
      <w:r w:rsidR="009626DA" w:rsidRPr="003A2434">
        <w:rPr>
          <w:rFonts w:ascii="Avenir Book" w:hAnsi="Avenir Book"/>
        </w:rPr>
        <w:t xml:space="preserve"> self-insertion of misoprostol. The provider will carefully review the instructions with the patient. Instructions for contacting on call doctors will be reviewed. The importance of follow-up will be stressed. If the gestational age was 64-7</w:t>
      </w:r>
      <w:r w:rsidR="008C1901">
        <w:rPr>
          <w:rFonts w:ascii="Avenir Book" w:hAnsi="Avenir Book"/>
        </w:rPr>
        <w:t>7</w:t>
      </w:r>
      <w:r w:rsidR="009626DA" w:rsidRPr="003A2434">
        <w:rPr>
          <w:rFonts w:ascii="Avenir Book" w:hAnsi="Avenir Book"/>
        </w:rPr>
        <w:t xml:space="preserve"> days a one week follow up visit is advised. </w:t>
      </w:r>
    </w:p>
    <w:p w14:paraId="1107825F" w14:textId="77777777" w:rsidR="009626DA" w:rsidRPr="003A2434" w:rsidRDefault="009626DA" w:rsidP="009626DA">
      <w:pPr>
        <w:pStyle w:val="Heading1"/>
        <w:rPr>
          <w:rFonts w:ascii="Avenir Book" w:hAnsi="Avenir Book"/>
          <w:b w:val="0"/>
          <w:bCs w:val="0"/>
        </w:rPr>
      </w:pPr>
    </w:p>
    <w:p w14:paraId="68211E85" w14:textId="77777777" w:rsidR="009626DA" w:rsidRPr="003A2434" w:rsidRDefault="009626DA" w:rsidP="009626DA">
      <w:pPr>
        <w:pStyle w:val="Heading1"/>
        <w:rPr>
          <w:rFonts w:ascii="Avenir Book" w:hAnsi="Avenir Book"/>
          <w:b w:val="0"/>
          <w:bCs w:val="0"/>
        </w:rPr>
      </w:pPr>
    </w:p>
    <w:p w14:paraId="599CD45E" w14:textId="21798316" w:rsidR="009626DA" w:rsidRPr="00990BB9" w:rsidRDefault="00990BB9" w:rsidP="009626DA">
      <w:pPr>
        <w:pStyle w:val="Heading1"/>
        <w:rPr>
          <w:rFonts w:ascii="Avenir Book" w:hAnsi="Avenir Book"/>
          <w:bCs w:val="0"/>
        </w:rPr>
      </w:pPr>
      <w:r w:rsidRPr="00990BB9">
        <w:rPr>
          <w:rFonts w:ascii="Avenir Book" w:hAnsi="Avenir Book"/>
          <w:bCs w:val="0"/>
        </w:rPr>
        <w:t xml:space="preserve">II  </w:t>
      </w:r>
      <w:r>
        <w:rPr>
          <w:rFonts w:ascii="Avenir Book" w:hAnsi="Avenir Book"/>
          <w:bCs w:val="0"/>
        </w:rPr>
        <w:t xml:space="preserve"> </w:t>
      </w:r>
      <w:r w:rsidR="009626DA" w:rsidRPr="00990BB9">
        <w:rPr>
          <w:rFonts w:ascii="Avenir Book" w:hAnsi="Avenir Book"/>
          <w:bCs w:val="0"/>
        </w:rPr>
        <w:t>VISIT TWO</w:t>
      </w:r>
    </w:p>
    <w:p w14:paraId="708C043F" w14:textId="77777777" w:rsidR="009626DA" w:rsidRPr="003A2434" w:rsidRDefault="009626DA" w:rsidP="009626DA">
      <w:pPr>
        <w:rPr>
          <w:rFonts w:ascii="Avenir Book" w:hAnsi="Avenir Book"/>
        </w:rPr>
      </w:pPr>
    </w:p>
    <w:p w14:paraId="7B4BA9DD" w14:textId="1C992EEE" w:rsidR="009626DA" w:rsidRPr="003A2434" w:rsidRDefault="009626DA" w:rsidP="00967675">
      <w:pPr>
        <w:spacing w:after="120"/>
        <w:rPr>
          <w:rFonts w:ascii="Avenir Book" w:hAnsi="Avenir Book"/>
        </w:rPr>
      </w:pPr>
      <w:r w:rsidRPr="00990BB9">
        <w:rPr>
          <w:rFonts w:ascii="Avenir Book" w:hAnsi="Avenir Book"/>
          <w:u w:val="single"/>
        </w:rPr>
        <w:t>1. Arrival and Triage:</w:t>
      </w:r>
      <w:r w:rsidRPr="003A2434">
        <w:rPr>
          <w:rFonts w:ascii="Avenir Book" w:hAnsi="Avenir Book"/>
        </w:rPr>
        <w:t xml:space="preserve"> The patient will register and be triaged by nursing as in visit one. Vital signs will be recorded. No hemoglobin measurement is necessary unless a history of unusually heavy bleeding is given. No urine pregnancy test should be done unless ordered by the provider; urine </w:t>
      </w:r>
      <w:proofErr w:type="spellStart"/>
      <w:r w:rsidRPr="003A2434">
        <w:rPr>
          <w:rFonts w:ascii="Avenir Book" w:hAnsi="Avenir Book"/>
        </w:rPr>
        <w:t>hcg</w:t>
      </w:r>
      <w:proofErr w:type="spellEnd"/>
      <w:r w:rsidRPr="003A2434">
        <w:rPr>
          <w:rFonts w:ascii="Avenir Book" w:hAnsi="Avenir Book"/>
        </w:rPr>
        <w:t xml:space="preserve"> may remain positive for weeks after a successful medication abortion. </w:t>
      </w:r>
    </w:p>
    <w:p w14:paraId="147E445D" w14:textId="257BE1FB" w:rsidR="009626DA" w:rsidRPr="003A2434" w:rsidRDefault="009626DA" w:rsidP="00967675">
      <w:pPr>
        <w:spacing w:after="120"/>
        <w:rPr>
          <w:rFonts w:ascii="Avenir Book" w:hAnsi="Avenir Book"/>
        </w:rPr>
      </w:pPr>
      <w:r w:rsidRPr="00990BB9">
        <w:rPr>
          <w:rFonts w:ascii="Avenir Book" w:hAnsi="Avenir Book"/>
          <w:u w:val="single"/>
        </w:rPr>
        <w:lastRenderedPageBreak/>
        <w:t xml:space="preserve">2. History: </w:t>
      </w:r>
      <w:r w:rsidRPr="003A2434">
        <w:rPr>
          <w:rFonts w:ascii="Avenir Book" w:hAnsi="Avenir Book"/>
        </w:rPr>
        <w:t xml:space="preserve">The clinician will assess the completeness of the abortion by history, ultrasound exam and/or measurement of quantitative </w:t>
      </w:r>
      <w:proofErr w:type="spellStart"/>
      <w:r w:rsidRPr="003A2434">
        <w:rPr>
          <w:rFonts w:ascii="Avenir Book" w:hAnsi="Avenir Book"/>
        </w:rPr>
        <w:t>hCG</w:t>
      </w:r>
      <w:proofErr w:type="spellEnd"/>
      <w:r w:rsidRPr="003A2434">
        <w:rPr>
          <w:rFonts w:ascii="Avenir Book" w:hAnsi="Avenir Book"/>
        </w:rPr>
        <w:t xml:space="preserve"> titers as indicated. If the pregnancy is ongoing the patient may choose to repeat the insertion of vaginal misoprostol, or elect to undergo an MVA.  Follow up will be stressed. </w:t>
      </w:r>
    </w:p>
    <w:p w14:paraId="75F0F89E" w14:textId="4BA574BA" w:rsidR="009626DA" w:rsidRPr="003A2434" w:rsidRDefault="009626DA" w:rsidP="00967675">
      <w:pPr>
        <w:spacing w:after="120"/>
        <w:rPr>
          <w:rFonts w:ascii="Avenir Book" w:hAnsi="Avenir Book"/>
        </w:rPr>
      </w:pPr>
      <w:r w:rsidRPr="00990BB9">
        <w:rPr>
          <w:rFonts w:ascii="Avenir Book" w:hAnsi="Avenir Book"/>
          <w:u w:val="single"/>
        </w:rPr>
        <w:t>3. Anticipatory Guidance:</w:t>
      </w:r>
      <w:r w:rsidRPr="003A2434">
        <w:rPr>
          <w:rFonts w:ascii="Avenir Book" w:hAnsi="Avenir Book"/>
        </w:rPr>
        <w:t xml:space="preserve"> The patient should be made aware that if they have ongoing heavy bleeding they should contact the clinician. Light bleeding may be normal for up to six weeks. The first menses following a medication abortion is often heavier, so the patient should be alerted to this possibility.</w:t>
      </w:r>
    </w:p>
    <w:p w14:paraId="70F6E78E" w14:textId="6971DE37" w:rsidR="009626DA" w:rsidRPr="003A2434" w:rsidRDefault="009626DA" w:rsidP="00967675">
      <w:pPr>
        <w:pStyle w:val="BodyText"/>
        <w:rPr>
          <w:rFonts w:ascii="Avenir Book" w:hAnsi="Avenir Book"/>
        </w:rPr>
      </w:pPr>
      <w:r w:rsidRPr="00990BB9">
        <w:rPr>
          <w:rFonts w:ascii="Avenir Book" w:hAnsi="Avenir Book"/>
          <w:u w:val="single"/>
        </w:rPr>
        <w:t>4. Contraception:</w:t>
      </w:r>
      <w:r w:rsidR="00AD5500">
        <w:rPr>
          <w:rFonts w:ascii="Avenir Book" w:hAnsi="Avenir Book"/>
        </w:rPr>
        <w:t xml:space="preserve"> A c</w:t>
      </w:r>
      <w:r w:rsidRPr="003A2434">
        <w:rPr>
          <w:rFonts w:ascii="Avenir Book" w:hAnsi="Avenir Book"/>
        </w:rPr>
        <w:t>ontraceptive plan should be re-discussed at this visit.  Oral contraceptive pills, the patch or the ring can be started before visit two if the expected bleeding has occurred.  An IUD or implant can</w:t>
      </w:r>
      <w:r w:rsidR="00AD5500">
        <w:rPr>
          <w:rFonts w:ascii="Avenir Book" w:hAnsi="Avenir Book"/>
        </w:rPr>
        <w:t xml:space="preserve"> be inserted at this visit, or a progestin injection</w:t>
      </w:r>
      <w:r w:rsidRPr="003A2434">
        <w:rPr>
          <w:rFonts w:ascii="Avenir Book" w:hAnsi="Avenir Book"/>
        </w:rPr>
        <w:t xml:space="preserve"> can be given. </w:t>
      </w:r>
    </w:p>
    <w:p w14:paraId="4B1E351C" w14:textId="77777777" w:rsidR="009626DA" w:rsidRPr="003A2434" w:rsidRDefault="009626DA" w:rsidP="00967675">
      <w:pPr>
        <w:pStyle w:val="BodyText"/>
        <w:rPr>
          <w:rFonts w:ascii="Avenir Book" w:hAnsi="Avenir Book"/>
        </w:rPr>
      </w:pPr>
      <w:r w:rsidRPr="00990BB9">
        <w:rPr>
          <w:rFonts w:ascii="Avenir Book" w:hAnsi="Avenir Book"/>
          <w:u w:val="single"/>
        </w:rPr>
        <w:t>5. Follow up:</w:t>
      </w:r>
      <w:r w:rsidRPr="003A2434">
        <w:rPr>
          <w:rFonts w:ascii="Avenir Book" w:hAnsi="Avenir Book"/>
        </w:rPr>
        <w:t xml:space="preserve"> If a follow up appointment is missed, the patient will be phoned to set up another appointment, or a history will be taken by phone and a home pregnancy test to document a negative will be done.  These conversations will be recorded in the chart as a telephone encounter.</w:t>
      </w:r>
    </w:p>
    <w:p w14:paraId="60E85D32" w14:textId="77777777" w:rsidR="009626DA" w:rsidRPr="003A2434" w:rsidRDefault="009626DA" w:rsidP="009626DA">
      <w:pPr>
        <w:rPr>
          <w:rFonts w:ascii="Avenir Book" w:hAnsi="Avenir Book"/>
        </w:rPr>
      </w:pPr>
    </w:p>
    <w:p w14:paraId="4D4C21D4" w14:textId="77777777" w:rsidR="009626DA" w:rsidRPr="003A2434" w:rsidRDefault="009626DA" w:rsidP="009626DA">
      <w:pPr>
        <w:rPr>
          <w:rFonts w:ascii="Avenir Book" w:hAnsi="Avenir Book"/>
        </w:rPr>
      </w:pPr>
    </w:p>
    <w:p w14:paraId="7CBA939C" w14:textId="77777777" w:rsidR="009626DA" w:rsidRPr="003A2434" w:rsidRDefault="009626DA" w:rsidP="009626DA">
      <w:pPr>
        <w:rPr>
          <w:rFonts w:ascii="Avenir Book" w:hAnsi="Avenir Book"/>
          <w:sz w:val="28"/>
          <w:szCs w:val="28"/>
        </w:rPr>
      </w:pPr>
    </w:p>
    <w:p w14:paraId="1CBDC075" w14:textId="77777777" w:rsidR="00EC7C15" w:rsidRPr="009626DA" w:rsidRDefault="00EC7C15" w:rsidP="009626DA">
      <w:pPr>
        <w:rPr>
          <w:b/>
          <w:sz w:val="28"/>
          <w:szCs w:val="28"/>
        </w:rPr>
      </w:pPr>
    </w:p>
    <w:p w14:paraId="368D1ADA" w14:textId="77777777" w:rsidR="00F72826" w:rsidRPr="00F72826" w:rsidRDefault="00F72826" w:rsidP="00F72826">
      <w:pPr>
        <w:pStyle w:val="ListParagraph"/>
        <w:ind w:left="360"/>
        <w:rPr>
          <w:b/>
        </w:rPr>
      </w:pPr>
      <w:r w:rsidRPr="00F72826">
        <w:rPr>
          <w:b/>
        </w:rPr>
        <w:t xml:space="preserve">  </w:t>
      </w:r>
    </w:p>
    <w:p w14:paraId="5E4BE892" w14:textId="77777777" w:rsidR="00FB6E2D" w:rsidRDefault="00F72826" w:rsidP="00FB6E2D">
      <w:pPr>
        <w:pStyle w:val="ListParagraph"/>
        <w:ind w:left="360"/>
        <w:rPr>
          <w:b/>
        </w:rPr>
      </w:pPr>
      <w:r w:rsidRPr="00F72826">
        <w:rPr>
          <w:b/>
        </w:rPr>
        <w:t xml:space="preserve"> </w:t>
      </w:r>
    </w:p>
    <w:sectPr w:rsidR="00FB6E2D" w:rsidSect="00967675">
      <w:footerReference w:type="default" r:id="rId9"/>
      <w:pgSz w:w="12240" w:h="15840"/>
      <w:pgMar w:top="1305"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5CA4" w14:textId="77777777" w:rsidR="00DA4F22" w:rsidRDefault="00DA4F22" w:rsidP="00EC7C15">
      <w:r>
        <w:separator/>
      </w:r>
    </w:p>
  </w:endnote>
  <w:endnote w:type="continuationSeparator" w:id="0">
    <w:p w14:paraId="7200B093" w14:textId="77777777" w:rsidR="00DA4F22" w:rsidRDefault="00DA4F22" w:rsidP="00EC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B897" w14:textId="656C6019" w:rsidR="00967675" w:rsidRPr="00967675" w:rsidRDefault="00967675" w:rsidP="00967675">
    <w:pPr>
      <w:pStyle w:val="Footer"/>
      <w:rPr>
        <w:rFonts w:ascii="Avenir Book" w:hAnsi="Avenir Book"/>
        <w:sz w:val="20"/>
        <w:szCs w:val="20"/>
      </w:rPr>
    </w:pPr>
    <w:r w:rsidRPr="00967675">
      <w:rPr>
        <w:rFonts w:ascii="Avenir Book" w:hAnsi="Avenir Book"/>
        <w:noProof/>
        <w:sz w:val="20"/>
        <w:szCs w:val="20"/>
      </w:rPr>
      <w:drawing>
        <wp:anchor distT="0" distB="0" distL="114300" distR="114300" simplePos="0" relativeHeight="251659264" behindDoc="1" locked="0" layoutInCell="1" allowOverlap="1" wp14:anchorId="2F8D3721" wp14:editId="1E0EE2CE">
          <wp:simplePos x="0" y="0"/>
          <wp:positionH relativeFrom="column">
            <wp:posOffset>4737735</wp:posOffset>
          </wp:positionH>
          <wp:positionV relativeFrom="paragraph">
            <wp:posOffset>6350</wp:posOffset>
          </wp:positionV>
          <wp:extent cx="914400" cy="450850"/>
          <wp:effectExtent l="0" t="0" r="0" b="6350"/>
          <wp:wrapThrough wrapText="bothSides">
            <wp:wrapPolygon edited="0">
              <wp:start x="0" y="0"/>
              <wp:lineTo x="0" y="20687"/>
              <wp:lineTo x="21000" y="20687"/>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901">
      <w:rPr>
        <w:rFonts w:ascii="Avenir Book" w:hAnsi="Avenir Book"/>
        <w:noProof/>
        <w:sz w:val="20"/>
        <w:szCs w:val="20"/>
      </w:rPr>
      <w:t>May 2021</w:t>
    </w:r>
    <w:r w:rsidRPr="00967675">
      <w:rPr>
        <w:rFonts w:ascii="Avenir Book" w:hAnsi="Avenir Book"/>
        <w:sz w:val="20"/>
        <w:szCs w:val="20"/>
      </w:rPr>
      <w:t xml:space="preserve"> / www.reproductiveaccess.org</w:t>
    </w:r>
  </w:p>
  <w:p w14:paraId="23F85754" w14:textId="77777777" w:rsidR="00EC7C15" w:rsidRDefault="00EC7C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91B3" w14:textId="77777777" w:rsidR="00DA4F22" w:rsidRDefault="00DA4F22" w:rsidP="00EC7C15">
      <w:r>
        <w:separator/>
      </w:r>
    </w:p>
  </w:footnote>
  <w:footnote w:type="continuationSeparator" w:id="0">
    <w:p w14:paraId="0D501E89" w14:textId="77777777" w:rsidR="00DA4F22" w:rsidRDefault="00DA4F22" w:rsidP="00EC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8C3"/>
    <w:multiLevelType w:val="multilevel"/>
    <w:tmpl w:val="637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75EEE"/>
    <w:multiLevelType w:val="multilevel"/>
    <w:tmpl w:val="4EE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112D0"/>
    <w:multiLevelType w:val="multilevel"/>
    <w:tmpl w:val="AF2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546A3"/>
    <w:multiLevelType w:val="multilevel"/>
    <w:tmpl w:val="4E5A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3682A"/>
    <w:multiLevelType w:val="multilevel"/>
    <w:tmpl w:val="D8C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223A2"/>
    <w:multiLevelType w:val="multilevel"/>
    <w:tmpl w:val="85BC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F3F9E"/>
    <w:multiLevelType w:val="multilevel"/>
    <w:tmpl w:val="B7FC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C1C34"/>
    <w:multiLevelType w:val="multilevel"/>
    <w:tmpl w:val="5FD4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E7540"/>
    <w:multiLevelType w:val="multilevel"/>
    <w:tmpl w:val="C486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B0987"/>
    <w:multiLevelType w:val="multilevel"/>
    <w:tmpl w:val="7C2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60873"/>
    <w:multiLevelType w:val="multilevel"/>
    <w:tmpl w:val="89C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B401A"/>
    <w:multiLevelType w:val="multilevel"/>
    <w:tmpl w:val="D77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73B34"/>
    <w:multiLevelType w:val="hybridMultilevel"/>
    <w:tmpl w:val="DAEAFC12"/>
    <w:lvl w:ilvl="0" w:tplc="8AAC69E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00084"/>
    <w:multiLevelType w:val="multilevel"/>
    <w:tmpl w:val="060E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846B3"/>
    <w:multiLevelType w:val="multilevel"/>
    <w:tmpl w:val="FBF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E1F76"/>
    <w:multiLevelType w:val="multilevel"/>
    <w:tmpl w:val="5C3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03847"/>
    <w:multiLevelType w:val="multilevel"/>
    <w:tmpl w:val="7C4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591C"/>
    <w:multiLevelType w:val="hybridMultilevel"/>
    <w:tmpl w:val="AD0AE6AE"/>
    <w:lvl w:ilvl="0" w:tplc="D0061572">
      <w:start w:val="1"/>
      <w:numFmt w:val="decimal"/>
      <w:lvlText w:val="%1)"/>
      <w:lvlJc w:val="left"/>
      <w:pPr>
        <w:tabs>
          <w:tab w:val="num" w:pos="720"/>
        </w:tabs>
        <w:ind w:left="720" w:hanging="360"/>
      </w:pPr>
      <w:rPr>
        <w:rFonts w:hint="default"/>
      </w:rPr>
    </w:lvl>
    <w:lvl w:ilvl="1" w:tplc="247CFA70" w:tentative="1">
      <w:start w:val="1"/>
      <w:numFmt w:val="lowerLetter"/>
      <w:lvlText w:val="%2."/>
      <w:lvlJc w:val="left"/>
      <w:pPr>
        <w:tabs>
          <w:tab w:val="num" w:pos="1440"/>
        </w:tabs>
        <w:ind w:left="1440" w:hanging="360"/>
      </w:pPr>
    </w:lvl>
    <w:lvl w:ilvl="2" w:tplc="549EBD76" w:tentative="1">
      <w:start w:val="1"/>
      <w:numFmt w:val="lowerRoman"/>
      <w:lvlText w:val="%3."/>
      <w:lvlJc w:val="right"/>
      <w:pPr>
        <w:tabs>
          <w:tab w:val="num" w:pos="2160"/>
        </w:tabs>
        <w:ind w:left="2160" w:hanging="180"/>
      </w:pPr>
    </w:lvl>
    <w:lvl w:ilvl="3" w:tplc="1306291E" w:tentative="1">
      <w:start w:val="1"/>
      <w:numFmt w:val="decimal"/>
      <w:lvlText w:val="%4."/>
      <w:lvlJc w:val="left"/>
      <w:pPr>
        <w:tabs>
          <w:tab w:val="num" w:pos="2880"/>
        </w:tabs>
        <w:ind w:left="2880" w:hanging="360"/>
      </w:pPr>
    </w:lvl>
    <w:lvl w:ilvl="4" w:tplc="E3ACF6C6" w:tentative="1">
      <w:start w:val="1"/>
      <w:numFmt w:val="lowerLetter"/>
      <w:lvlText w:val="%5."/>
      <w:lvlJc w:val="left"/>
      <w:pPr>
        <w:tabs>
          <w:tab w:val="num" w:pos="3600"/>
        </w:tabs>
        <w:ind w:left="3600" w:hanging="360"/>
      </w:pPr>
    </w:lvl>
    <w:lvl w:ilvl="5" w:tplc="D1DA14D6" w:tentative="1">
      <w:start w:val="1"/>
      <w:numFmt w:val="lowerRoman"/>
      <w:lvlText w:val="%6."/>
      <w:lvlJc w:val="right"/>
      <w:pPr>
        <w:tabs>
          <w:tab w:val="num" w:pos="4320"/>
        </w:tabs>
        <w:ind w:left="4320" w:hanging="180"/>
      </w:pPr>
    </w:lvl>
    <w:lvl w:ilvl="6" w:tplc="A4AC06EC" w:tentative="1">
      <w:start w:val="1"/>
      <w:numFmt w:val="decimal"/>
      <w:lvlText w:val="%7."/>
      <w:lvlJc w:val="left"/>
      <w:pPr>
        <w:tabs>
          <w:tab w:val="num" w:pos="5040"/>
        </w:tabs>
        <w:ind w:left="5040" w:hanging="360"/>
      </w:pPr>
    </w:lvl>
    <w:lvl w:ilvl="7" w:tplc="04047B04" w:tentative="1">
      <w:start w:val="1"/>
      <w:numFmt w:val="lowerLetter"/>
      <w:lvlText w:val="%8."/>
      <w:lvlJc w:val="left"/>
      <w:pPr>
        <w:tabs>
          <w:tab w:val="num" w:pos="5760"/>
        </w:tabs>
        <w:ind w:left="5760" w:hanging="360"/>
      </w:pPr>
    </w:lvl>
    <w:lvl w:ilvl="8" w:tplc="E4E00C46" w:tentative="1">
      <w:start w:val="1"/>
      <w:numFmt w:val="lowerRoman"/>
      <w:lvlText w:val="%9."/>
      <w:lvlJc w:val="right"/>
      <w:pPr>
        <w:tabs>
          <w:tab w:val="num" w:pos="6480"/>
        </w:tabs>
        <w:ind w:left="6480" w:hanging="180"/>
      </w:pPr>
    </w:lvl>
  </w:abstractNum>
  <w:abstractNum w:abstractNumId="18" w15:restartNumberingAfterBreak="0">
    <w:nsid w:val="463B04C6"/>
    <w:multiLevelType w:val="multilevel"/>
    <w:tmpl w:val="BF3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B4DBE"/>
    <w:multiLevelType w:val="multilevel"/>
    <w:tmpl w:val="89B6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90E8F"/>
    <w:multiLevelType w:val="multilevel"/>
    <w:tmpl w:val="779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E5016"/>
    <w:multiLevelType w:val="multilevel"/>
    <w:tmpl w:val="576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E5970"/>
    <w:multiLevelType w:val="multilevel"/>
    <w:tmpl w:val="E73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46212"/>
    <w:multiLevelType w:val="multilevel"/>
    <w:tmpl w:val="3F9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E1332"/>
    <w:multiLevelType w:val="multilevel"/>
    <w:tmpl w:val="44E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42020"/>
    <w:multiLevelType w:val="multilevel"/>
    <w:tmpl w:val="3896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F5205"/>
    <w:multiLevelType w:val="multilevel"/>
    <w:tmpl w:val="B26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162E7"/>
    <w:multiLevelType w:val="multilevel"/>
    <w:tmpl w:val="E51A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921A02"/>
    <w:multiLevelType w:val="multilevel"/>
    <w:tmpl w:val="F0A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3768B"/>
    <w:multiLevelType w:val="hybridMultilevel"/>
    <w:tmpl w:val="3B721624"/>
    <w:lvl w:ilvl="0" w:tplc="E49E395C">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6C2A4E17"/>
    <w:multiLevelType w:val="multilevel"/>
    <w:tmpl w:val="3916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746"/>
    <w:multiLevelType w:val="multilevel"/>
    <w:tmpl w:val="F85C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94CF8"/>
    <w:multiLevelType w:val="multilevel"/>
    <w:tmpl w:val="2F2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B7E57"/>
    <w:multiLevelType w:val="hybridMultilevel"/>
    <w:tmpl w:val="91EA66EE"/>
    <w:lvl w:ilvl="0" w:tplc="4B067492">
      <w:start w:val="1"/>
      <w:numFmt w:val="decimal"/>
      <w:pStyle w:val="BulletHeading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E27F6"/>
    <w:multiLevelType w:val="hybridMultilevel"/>
    <w:tmpl w:val="AEDA6794"/>
    <w:lvl w:ilvl="0" w:tplc="BFC2FF46">
      <w:start w:val="1"/>
      <w:numFmt w:val="lowerLetter"/>
      <w:lvlText w:val="%1."/>
      <w:lvlJc w:val="left"/>
      <w:pPr>
        <w:tabs>
          <w:tab w:val="num" w:pos="1800"/>
        </w:tabs>
        <w:ind w:left="1800" w:hanging="360"/>
      </w:pPr>
      <w:rPr>
        <w:rFonts w:hint="default"/>
      </w:rPr>
    </w:lvl>
    <w:lvl w:ilvl="1" w:tplc="D87C97A8" w:tentative="1">
      <w:start w:val="1"/>
      <w:numFmt w:val="lowerLetter"/>
      <w:lvlText w:val="%2."/>
      <w:lvlJc w:val="left"/>
      <w:pPr>
        <w:tabs>
          <w:tab w:val="num" w:pos="2520"/>
        </w:tabs>
        <w:ind w:left="2520" w:hanging="360"/>
      </w:pPr>
    </w:lvl>
    <w:lvl w:ilvl="2" w:tplc="94EA5D2A" w:tentative="1">
      <w:start w:val="1"/>
      <w:numFmt w:val="lowerRoman"/>
      <w:lvlText w:val="%3."/>
      <w:lvlJc w:val="right"/>
      <w:pPr>
        <w:tabs>
          <w:tab w:val="num" w:pos="3240"/>
        </w:tabs>
        <w:ind w:left="3240" w:hanging="180"/>
      </w:pPr>
    </w:lvl>
    <w:lvl w:ilvl="3" w:tplc="69E2A496" w:tentative="1">
      <w:start w:val="1"/>
      <w:numFmt w:val="decimal"/>
      <w:lvlText w:val="%4."/>
      <w:lvlJc w:val="left"/>
      <w:pPr>
        <w:tabs>
          <w:tab w:val="num" w:pos="3960"/>
        </w:tabs>
        <w:ind w:left="3960" w:hanging="360"/>
      </w:pPr>
    </w:lvl>
    <w:lvl w:ilvl="4" w:tplc="BBF6754E" w:tentative="1">
      <w:start w:val="1"/>
      <w:numFmt w:val="lowerLetter"/>
      <w:lvlText w:val="%5."/>
      <w:lvlJc w:val="left"/>
      <w:pPr>
        <w:tabs>
          <w:tab w:val="num" w:pos="4680"/>
        </w:tabs>
        <w:ind w:left="4680" w:hanging="360"/>
      </w:pPr>
    </w:lvl>
    <w:lvl w:ilvl="5" w:tplc="B7C238A2" w:tentative="1">
      <w:start w:val="1"/>
      <w:numFmt w:val="lowerRoman"/>
      <w:lvlText w:val="%6."/>
      <w:lvlJc w:val="right"/>
      <w:pPr>
        <w:tabs>
          <w:tab w:val="num" w:pos="5400"/>
        </w:tabs>
        <w:ind w:left="5400" w:hanging="180"/>
      </w:pPr>
    </w:lvl>
    <w:lvl w:ilvl="6" w:tplc="E9CCDAFE" w:tentative="1">
      <w:start w:val="1"/>
      <w:numFmt w:val="decimal"/>
      <w:lvlText w:val="%7."/>
      <w:lvlJc w:val="left"/>
      <w:pPr>
        <w:tabs>
          <w:tab w:val="num" w:pos="6120"/>
        </w:tabs>
        <w:ind w:left="6120" w:hanging="360"/>
      </w:pPr>
    </w:lvl>
    <w:lvl w:ilvl="7" w:tplc="D37CE56C" w:tentative="1">
      <w:start w:val="1"/>
      <w:numFmt w:val="lowerLetter"/>
      <w:lvlText w:val="%8."/>
      <w:lvlJc w:val="left"/>
      <w:pPr>
        <w:tabs>
          <w:tab w:val="num" w:pos="6840"/>
        </w:tabs>
        <w:ind w:left="6840" w:hanging="360"/>
      </w:pPr>
    </w:lvl>
    <w:lvl w:ilvl="8" w:tplc="E02EBF24" w:tentative="1">
      <w:start w:val="1"/>
      <w:numFmt w:val="lowerRoman"/>
      <w:lvlText w:val="%9."/>
      <w:lvlJc w:val="right"/>
      <w:pPr>
        <w:tabs>
          <w:tab w:val="num" w:pos="7560"/>
        </w:tabs>
        <w:ind w:left="7560" w:hanging="180"/>
      </w:pPr>
    </w:lvl>
  </w:abstractNum>
  <w:abstractNum w:abstractNumId="35" w15:restartNumberingAfterBreak="0">
    <w:nsid w:val="7B42653D"/>
    <w:multiLevelType w:val="multilevel"/>
    <w:tmpl w:val="2D1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D0047"/>
    <w:multiLevelType w:val="multilevel"/>
    <w:tmpl w:val="C38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26"/>
  </w:num>
  <w:num w:numId="4">
    <w:abstractNumId w:val="20"/>
  </w:num>
  <w:num w:numId="5">
    <w:abstractNumId w:val="36"/>
  </w:num>
  <w:num w:numId="6">
    <w:abstractNumId w:val="6"/>
  </w:num>
  <w:num w:numId="7">
    <w:abstractNumId w:val="15"/>
  </w:num>
  <w:num w:numId="8">
    <w:abstractNumId w:val="25"/>
  </w:num>
  <w:num w:numId="9">
    <w:abstractNumId w:val="32"/>
  </w:num>
  <w:num w:numId="10">
    <w:abstractNumId w:val="35"/>
  </w:num>
  <w:num w:numId="11">
    <w:abstractNumId w:val="24"/>
  </w:num>
  <w:num w:numId="12">
    <w:abstractNumId w:val="13"/>
  </w:num>
  <w:num w:numId="13">
    <w:abstractNumId w:val="4"/>
  </w:num>
  <w:num w:numId="14">
    <w:abstractNumId w:val="14"/>
  </w:num>
  <w:num w:numId="15">
    <w:abstractNumId w:val="11"/>
  </w:num>
  <w:num w:numId="16">
    <w:abstractNumId w:val="9"/>
  </w:num>
  <w:num w:numId="17">
    <w:abstractNumId w:val="19"/>
  </w:num>
  <w:num w:numId="18">
    <w:abstractNumId w:val="30"/>
  </w:num>
  <w:num w:numId="19">
    <w:abstractNumId w:val="7"/>
  </w:num>
  <w:num w:numId="20">
    <w:abstractNumId w:val="27"/>
  </w:num>
  <w:num w:numId="21">
    <w:abstractNumId w:val="28"/>
  </w:num>
  <w:num w:numId="22">
    <w:abstractNumId w:val="23"/>
  </w:num>
  <w:num w:numId="23">
    <w:abstractNumId w:val="2"/>
  </w:num>
  <w:num w:numId="24">
    <w:abstractNumId w:val="3"/>
  </w:num>
  <w:num w:numId="25">
    <w:abstractNumId w:val="21"/>
  </w:num>
  <w:num w:numId="26">
    <w:abstractNumId w:val="8"/>
  </w:num>
  <w:num w:numId="27">
    <w:abstractNumId w:val="31"/>
  </w:num>
  <w:num w:numId="28">
    <w:abstractNumId w:val="22"/>
  </w:num>
  <w:num w:numId="29">
    <w:abstractNumId w:val="18"/>
  </w:num>
  <w:num w:numId="30">
    <w:abstractNumId w:val="16"/>
  </w:num>
  <w:num w:numId="31">
    <w:abstractNumId w:val="10"/>
  </w:num>
  <w:num w:numId="32">
    <w:abstractNumId w:val="0"/>
  </w:num>
  <w:num w:numId="33">
    <w:abstractNumId w:val="1"/>
  </w:num>
  <w:num w:numId="34">
    <w:abstractNumId w:val="5"/>
  </w:num>
  <w:num w:numId="35">
    <w:abstractNumId w:val="12"/>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CD"/>
    <w:rsid w:val="000008CA"/>
    <w:rsid w:val="000526C1"/>
    <w:rsid w:val="000831E5"/>
    <w:rsid w:val="000B28A3"/>
    <w:rsid w:val="000F4029"/>
    <w:rsid w:val="001006BD"/>
    <w:rsid w:val="00103CD7"/>
    <w:rsid w:val="00115B77"/>
    <w:rsid w:val="00121746"/>
    <w:rsid w:val="0014074C"/>
    <w:rsid w:val="00177AC0"/>
    <w:rsid w:val="001D54AE"/>
    <w:rsid w:val="00337DEA"/>
    <w:rsid w:val="003463D4"/>
    <w:rsid w:val="00363220"/>
    <w:rsid w:val="003A1868"/>
    <w:rsid w:val="003A2434"/>
    <w:rsid w:val="003B2DA1"/>
    <w:rsid w:val="00405394"/>
    <w:rsid w:val="0045402C"/>
    <w:rsid w:val="00464036"/>
    <w:rsid w:val="0049090E"/>
    <w:rsid w:val="004929B6"/>
    <w:rsid w:val="00520E9A"/>
    <w:rsid w:val="005278BB"/>
    <w:rsid w:val="0055394F"/>
    <w:rsid w:val="005604B5"/>
    <w:rsid w:val="005954DC"/>
    <w:rsid w:val="005A1D78"/>
    <w:rsid w:val="005D0CF4"/>
    <w:rsid w:val="005E4B48"/>
    <w:rsid w:val="005F125A"/>
    <w:rsid w:val="00616B5E"/>
    <w:rsid w:val="00617819"/>
    <w:rsid w:val="00631615"/>
    <w:rsid w:val="006653F1"/>
    <w:rsid w:val="006A7A28"/>
    <w:rsid w:val="0070061D"/>
    <w:rsid w:val="007171D2"/>
    <w:rsid w:val="00722693"/>
    <w:rsid w:val="00751C0A"/>
    <w:rsid w:val="0075287B"/>
    <w:rsid w:val="00785AA6"/>
    <w:rsid w:val="0079115A"/>
    <w:rsid w:val="00791D5E"/>
    <w:rsid w:val="00795758"/>
    <w:rsid w:val="007D1A9D"/>
    <w:rsid w:val="00864EB5"/>
    <w:rsid w:val="008C1901"/>
    <w:rsid w:val="008C4AD0"/>
    <w:rsid w:val="008D76D1"/>
    <w:rsid w:val="008E23F7"/>
    <w:rsid w:val="008F61DC"/>
    <w:rsid w:val="00943060"/>
    <w:rsid w:val="009474FF"/>
    <w:rsid w:val="009626DA"/>
    <w:rsid w:val="00967675"/>
    <w:rsid w:val="00990BB9"/>
    <w:rsid w:val="009B52CD"/>
    <w:rsid w:val="009D49C8"/>
    <w:rsid w:val="00A011A0"/>
    <w:rsid w:val="00A11DF0"/>
    <w:rsid w:val="00A23782"/>
    <w:rsid w:val="00A349E1"/>
    <w:rsid w:val="00A35CC6"/>
    <w:rsid w:val="00A912B4"/>
    <w:rsid w:val="00AC5A1B"/>
    <w:rsid w:val="00AD5500"/>
    <w:rsid w:val="00B5758A"/>
    <w:rsid w:val="00B72362"/>
    <w:rsid w:val="00B759C6"/>
    <w:rsid w:val="00B937AD"/>
    <w:rsid w:val="00BA11E6"/>
    <w:rsid w:val="00BB067F"/>
    <w:rsid w:val="00C50BFB"/>
    <w:rsid w:val="00CA4E1E"/>
    <w:rsid w:val="00CE4E2C"/>
    <w:rsid w:val="00CF30BE"/>
    <w:rsid w:val="00D074BF"/>
    <w:rsid w:val="00D07F06"/>
    <w:rsid w:val="00D12ACF"/>
    <w:rsid w:val="00D14937"/>
    <w:rsid w:val="00DA4F22"/>
    <w:rsid w:val="00DE5840"/>
    <w:rsid w:val="00E03526"/>
    <w:rsid w:val="00E1266C"/>
    <w:rsid w:val="00E13A18"/>
    <w:rsid w:val="00E66000"/>
    <w:rsid w:val="00E71E85"/>
    <w:rsid w:val="00E80410"/>
    <w:rsid w:val="00E80707"/>
    <w:rsid w:val="00E81D24"/>
    <w:rsid w:val="00EC5B42"/>
    <w:rsid w:val="00EC7C15"/>
    <w:rsid w:val="00F076F3"/>
    <w:rsid w:val="00F15E32"/>
    <w:rsid w:val="00F72826"/>
    <w:rsid w:val="00FB502C"/>
    <w:rsid w:val="00FB6E2D"/>
    <w:rsid w:val="00FC6F22"/>
    <w:rsid w:val="00FD059A"/>
    <w:rsid w:val="00FD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87C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7C15"/>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9626DA"/>
    <w:pPr>
      <w:keepNext/>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C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Headings">
    <w:name w:val="Bullet Headings"/>
    <w:basedOn w:val="ListParagraph"/>
    <w:link w:val="BulletHeadingsChar"/>
    <w:qFormat/>
    <w:rsid w:val="00EC7C15"/>
    <w:pPr>
      <w:numPr>
        <w:numId w:val="1"/>
      </w:numPr>
    </w:pPr>
    <w:rPr>
      <w:rFonts w:asciiTheme="majorHAnsi" w:hAnsiTheme="majorHAnsi"/>
      <w:b/>
    </w:rPr>
  </w:style>
  <w:style w:type="paragraph" w:customStyle="1" w:styleId="Formtext">
    <w:name w:val="Form text"/>
    <w:basedOn w:val="Normal"/>
    <w:link w:val="FormtextChar"/>
    <w:qFormat/>
    <w:rsid w:val="00EC7C15"/>
    <w:rPr>
      <w:rFonts w:asciiTheme="majorHAnsi" w:hAnsiTheme="majorHAnsi"/>
    </w:rPr>
  </w:style>
  <w:style w:type="character" w:customStyle="1" w:styleId="BulletHeadingsChar">
    <w:name w:val="Bullet Headings Char"/>
    <w:basedOn w:val="DefaultParagraphFont"/>
    <w:link w:val="BulletHeadings"/>
    <w:rsid w:val="00EC7C15"/>
    <w:rPr>
      <w:rFonts w:asciiTheme="majorHAnsi" w:hAnsiTheme="majorHAnsi"/>
      <w:b/>
      <w:sz w:val="24"/>
      <w:szCs w:val="24"/>
    </w:rPr>
  </w:style>
  <w:style w:type="character" w:customStyle="1" w:styleId="FormtextChar">
    <w:name w:val="Form text Char"/>
    <w:basedOn w:val="DefaultParagraphFont"/>
    <w:link w:val="Formtext"/>
    <w:rsid w:val="00EC7C15"/>
    <w:rPr>
      <w:rFonts w:asciiTheme="majorHAnsi" w:hAnsiTheme="majorHAnsi"/>
      <w:sz w:val="24"/>
      <w:szCs w:val="24"/>
    </w:rPr>
  </w:style>
  <w:style w:type="paragraph" w:styleId="ListParagraph">
    <w:name w:val="List Paragraph"/>
    <w:basedOn w:val="Normal"/>
    <w:uiPriority w:val="72"/>
    <w:qFormat/>
    <w:rsid w:val="00EC7C15"/>
    <w:pPr>
      <w:ind w:left="720"/>
      <w:contextualSpacing/>
    </w:pPr>
  </w:style>
  <w:style w:type="paragraph" w:styleId="Header">
    <w:name w:val="header"/>
    <w:basedOn w:val="Normal"/>
    <w:link w:val="HeaderChar"/>
    <w:uiPriority w:val="99"/>
    <w:unhideWhenUsed/>
    <w:rsid w:val="00EC7C15"/>
    <w:pPr>
      <w:tabs>
        <w:tab w:val="center" w:pos="4680"/>
        <w:tab w:val="right" w:pos="9360"/>
      </w:tabs>
    </w:pPr>
  </w:style>
  <w:style w:type="character" w:customStyle="1" w:styleId="HeaderChar">
    <w:name w:val="Header Char"/>
    <w:basedOn w:val="DefaultParagraphFont"/>
    <w:link w:val="Header"/>
    <w:uiPriority w:val="99"/>
    <w:rsid w:val="00EC7C15"/>
    <w:rPr>
      <w:rFonts w:ascii="Times New Roman" w:hAnsi="Times New Roman"/>
      <w:sz w:val="24"/>
      <w:szCs w:val="24"/>
    </w:rPr>
  </w:style>
  <w:style w:type="paragraph" w:styleId="Footer">
    <w:name w:val="footer"/>
    <w:basedOn w:val="Normal"/>
    <w:link w:val="FooterChar"/>
    <w:uiPriority w:val="99"/>
    <w:unhideWhenUsed/>
    <w:rsid w:val="00EC7C15"/>
    <w:pPr>
      <w:tabs>
        <w:tab w:val="center" w:pos="4680"/>
        <w:tab w:val="right" w:pos="9360"/>
      </w:tabs>
    </w:pPr>
  </w:style>
  <w:style w:type="character" w:customStyle="1" w:styleId="FooterChar">
    <w:name w:val="Footer Char"/>
    <w:basedOn w:val="DefaultParagraphFont"/>
    <w:link w:val="Footer"/>
    <w:uiPriority w:val="99"/>
    <w:rsid w:val="00EC7C15"/>
    <w:rPr>
      <w:rFonts w:ascii="Times New Roman" w:hAnsi="Times New Roman"/>
      <w:sz w:val="24"/>
      <w:szCs w:val="24"/>
    </w:rPr>
  </w:style>
  <w:style w:type="paragraph" w:styleId="BalloonText">
    <w:name w:val="Balloon Text"/>
    <w:basedOn w:val="Normal"/>
    <w:link w:val="BalloonTextChar"/>
    <w:uiPriority w:val="99"/>
    <w:semiHidden/>
    <w:unhideWhenUsed/>
    <w:rsid w:val="00EC7C15"/>
    <w:rPr>
      <w:rFonts w:ascii="Tahoma" w:hAnsi="Tahoma" w:cs="Tahoma"/>
      <w:sz w:val="16"/>
      <w:szCs w:val="16"/>
    </w:rPr>
  </w:style>
  <w:style w:type="character" w:customStyle="1" w:styleId="BalloonTextChar">
    <w:name w:val="Balloon Text Char"/>
    <w:basedOn w:val="DefaultParagraphFont"/>
    <w:link w:val="BalloonText"/>
    <w:uiPriority w:val="99"/>
    <w:semiHidden/>
    <w:rsid w:val="00EC7C15"/>
    <w:rPr>
      <w:rFonts w:ascii="Tahoma" w:hAnsi="Tahoma" w:cs="Tahoma"/>
      <w:sz w:val="16"/>
      <w:szCs w:val="16"/>
    </w:rPr>
  </w:style>
  <w:style w:type="paragraph" w:styleId="NormalWeb">
    <w:name w:val="Normal (Web)"/>
    <w:basedOn w:val="Normal"/>
    <w:uiPriority w:val="99"/>
    <w:unhideWhenUsed/>
    <w:rsid w:val="00363220"/>
    <w:pPr>
      <w:spacing w:before="100" w:beforeAutospacing="1" w:after="100" w:afterAutospacing="1"/>
    </w:pPr>
    <w:rPr>
      <w:rFonts w:eastAsia="Times New Roman" w:cs="Times New Roman"/>
    </w:rPr>
  </w:style>
  <w:style w:type="character" w:styleId="Strong">
    <w:name w:val="Strong"/>
    <w:basedOn w:val="DefaultParagraphFont"/>
    <w:uiPriority w:val="22"/>
    <w:qFormat/>
    <w:rsid w:val="00363220"/>
    <w:rPr>
      <w:b/>
      <w:bCs/>
    </w:rPr>
  </w:style>
  <w:style w:type="paragraph" w:styleId="BodyTextIndent2">
    <w:name w:val="Body Text Indent 2"/>
    <w:basedOn w:val="Normal"/>
    <w:link w:val="BodyTextIndent2Char"/>
    <w:rsid w:val="009626DA"/>
    <w:pPr>
      <w:ind w:left="1440"/>
    </w:pPr>
    <w:rPr>
      <w:rFonts w:eastAsia="Times New Roman" w:cs="Times New Roman"/>
      <w:bCs/>
    </w:rPr>
  </w:style>
  <w:style w:type="character" w:customStyle="1" w:styleId="BodyTextIndent2Char">
    <w:name w:val="Body Text Indent 2 Char"/>
    <w:basedOn w:val="DefaultParagraphFont"/>
    <w:link w:val="BodyTextIndent2"/>
    <w:rsid w:val="009626DA"/>
    <w:rPr>
      <w:rFonts w:ascii="Times New Roman" w:eastAsia="Times New Roman" w:hAnsi="Times New Roman" w:cs="Times New Roman"/>
      <w:bCs/>
      <w:sz w:val="24"/>
      <w:szCs w:val="24"/>
    </w:rPr>
  </w:style>
  <w:style w:type="paragraph" w:styleId="BodyText">
    <w:name w:val="Body Text"/>
    <w:basedOn w:val="Normal"/>
    <w:link w:val="BodyTextChar"/>
    <w:uiPriority w:val="99"/>
    <w:semiHidden/>
    <w:unhideWhenUsed/>
    <w:rsid w:val="009626DA"/>
    <w:pPr>
      <w:spacing w:after="120"/>
    </w:pPr>
  </w:style>
  <w:style w:type="character" w:customStyle="1" w:styleId="BodyTextChar">
    <w:name w:val="Body Text Char"/>
    <w:basedOn w:val="DefaultParagraphFont"/>
    <w:link w:val="BodyText"/>
    <w:uiPriority w:val="99"/>
    <w:semiHidden/>
    <w:rsid w:val="009626DA"/>
    <w:rPr>
      <w:rFonts w:ascii="Times New Roman" w:hAnsi="Times New Roman"/>
      <w:sz w:val="24"/>
      <w:szCs w:val="24"/>
    </w:rPr>
  </w:style>
  <w:style w:type="character" w:customStyle="1" w:styleId="Heading1Char">
    <w:name w:val="Heading 1 Char"/>
    <w:basedOn w:val="DefaultParagraphFont"/>
    <w:link w:val="Heading1"/>
    <w:rsid w:val="009626D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B2DA1"/>
    <w:rPr>
      <w:color w:val="0000FF" w:themeColor="hyperlink"/>
      <w:u w:val="single"/>
    </w:rPr>
  </w:style>
  <w:style w:type="character" w:styleId="UnresolvedMention">
    <w:name w:val="Unresolved Mention"/>
    <w:basedOn w:val="DefaultParagraphFont"/>
    <w:uiPriority w:val="99"/>
    <w:semiHidden/>
    <w:unhideWhenUsed/>
    <w:rsid w:val="003B2DA1"/>
    <w:rPr>
      <w:color w:val="605E5C"/>
      <w:shd w:val="clear" w:color="auto" w:fill="E1DFDD"/>
    </w:rPr>
  </w:style>
  <w:style w:type="character" w:styleId="CommentReference">
    <w:name w:val="annotation reference"/>
    <w:basedOn w:val="DefaultParagraphFont"/>
    <w:uiPriority w:val="99"/>
    <w:semiHidden/>
    <w:unhideWhenUsed/>
    <w:rsid w:val="008C1901"/>
    <w:rPr>
      <w:sz w:val="16"/>
      <w:szCs w:val="16"/>
    </w:rPr>
  </w:style>
  <w:style w:type="paragraph" w:styleId="CommentText">
    <w:name w:val="annotation text"/>
    <w:basedOn w:val="Normal"/>
    <w:link w:val="CommentTextChar"/>
    <w:uiPriority w:val="99"/>
    <w:semiHidden/>
    <w:unhideWhenUsed/>
    <w:rsid w:val="008C1901"/>
    <w:rPr>
      <w:sz w:val="20"/>
      <w:szCs w:val="20"/>
    </w:rPr>
  </w:style>
  <w:style w:type="character" w:customStyle="1" w:styleId="CommentTextChar">
    <w:name w:val="Comment Text Char"/>
    <w:basedOn w:val="DefaultParagraphFont"/>
    <w:link w:val="CommentText"/>
    <w:uiPriority w:val="99"/>
    <w:semiHidden/>
    <w:rsid w:val="008C19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1901"/>
    <w:rPr>
      <w:b/>
      <w:bCs/>
    </w:rPr>
  </w:style>
  <w:style w:type="character" w:customStyle="1" w:styleId="CommentSubjectChar">
    <w:name w:val="Comment Subject Char"/>
    <w:basedOn w:val="CommentTextChar"/>
    <w:link w:val="CommentSubject"/>
    <w:uiPriority w:val="99"/>
    <w:semiHidden/>
    <w:rsid w:val="008C190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065">
      <w:bodyDiv w:val="1"/>
      <w:marLeft w:val="0"/>
      <w:marRight w:val="0"/>
      <w:marTop w:val="0"/>
      <w:marBottom w:val="0"/>
      <w:divBdr>
        <w:top w:val="none" w:sz="0" w:space="0" w:color="auto"/>
        <w:left w:val="none" w:sz="0" w:space="0" w:color="auto"/>
        <w:bottom w:val="none" w:sz="0" w:space="0" w:color="auto"/>
        <w:right w:val="none" w:sz="0" w:space="0" w:color="auto"/>
      </w:divBdr>
    </w:div>
    <w:div w:id="246109669">
      <w:bodyDiv w:val="1"/>
      <w:marLeft w:val="0"/>
      <w:marRight w:val="0"/>
      <w:marTop w:val="0"/>
      <w:marBottom w:val="0"/>
      <w:divBdr>
        <w:top w:val="none" w:sz="0" w:space="0" w:color="auto"/>
        <w:left w:val="none" w:sz="0" w:space="0" w:color="auto"/>
        <w:bottom w:val="none" w:sz="0" w:space="0" w:color="auto"/>
        <w:right w:val="none" w:sz="0" w:space="0" w:color="auto"/>
      </w:divBdr>
    </w:div>
    <w:div w:id="690573916">
      <w:bodyDiv w:val="1"/>
      <w:marLeft w:val="0"/>
      <w:marRight w:val="0"/>
      <w:marTop w:val="0"/>
      <w:marBottom w:val="0"/>
      <w:divBdr>
        <w:top w:val="none" w:sz="0" w:space="0" w:color="auto"/>
        <w:left w:val="none" w:sz="0" w:space="0" w:color="auto"/>
        <w:bottom w:val="none" w:sz="0" w:space="0" w:color="auto"/>
        <w:right w:val="none" w:sz="0" w:space="0" w:color="auto"/>
      </w:divBdr>
      <w:divsChild>
        <w:div w:id="75170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38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35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3256338">
      <w:bodyDiv w:val="1"/>
      <w:marLeft w:val="0"/>
      <w:marRight w:val="0"/>
      <w:marTop w:val="0"/>
      <w:marBottom w:val="0"/>
      <w:divBdr>
        <w:top w:val="none" w:sz="0" w:space="0" w:color="auto"/>
        <w:left w:val="none" w:sz="0" w:space="0" w:color="auto"/>
        <w:bottom w:val="none" w:sz="0" w:space="0" w:color="auto"/>
        <w:right w:val="none" w:sz="0" w:space="0" w:color="auto"/>
      </w:divBdr>
    </w:div>
    <w:div w:id="785470745">
      <w:bodyDiv w:val="1"/>
      <w:marLeft w:val="0"/>
      <w:marRight w:val="0"/>
      <w:marTop w:val="0"/>
      <w:marBottom w:val="0"/>
      <w:divBdr>
        <w:top w:val="none" w:sz="0" w:space="0" w:color="auto"/>
        <w:left w:val="none" w:sz="0" w:space="0" w:color="auto"/>
        <w:bottom w:val="none" w:sz="0" w:space="0" w:color="auto"/>
        <w:right w:val="none" w:sz="0" w:space="0" w:color="auto"/>
      </w:divBdr>
      <w:divsChild>
        <w:div w:id="54356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61230451">
      <w:bodyDiv w:val="1"/>
      <w:marLeft w:val="0"/>
      <w:marRight w:val="0"/>
      <w:marTop w:val="0"/>
      <w:marBottom w:val="0"/>
      <w:divBdr>
        <w:top w:val="none" w:sz="0" w:space="0" w:color="auto"/>
        <w:left w:val="none" w:sz="0" w:space="0" w:color="auto"/>
        <w:bottom w:val="none" w:sz="0" w:space="0" w:color="auto"/>
        <w:right w:val="none" w:sz="0" w:space="0" w:color="auto"/>
      </w:divBdr>
    </w:div>
    <w:div w:id="964194029">
      <w:bodyDiv w:val="1"/>
      <w:marLeft w:val="0"/>
      <w:marRight w:val="0"/>
      <w:marTop w:val="0"/>
      <w:marBottom w:val="0"/>
      <w:divBdr>
        <w:top w:val="none" w:sz="0" w:space="0" w:color="auto"/>
        <w:left w:val="none" w:sz="0" w:space="0" w:color="auto"/>
        <w:bottom w:val="none" w:sz="0" w:space="0" w:color="auto"/>
        <w:right w:val="none" w:sz="0" w:space="0" w:color="auto"/>
      </w:divBdr>
    </w:div>
    <w:div w:id="1080516160">
      <w:bodyDiv w:val="1"/>
      <w:marLeft w:val="0"/>
      <w:marRight w:val="0"/>
      <w:marTop w:val="0"/>
      <w:marBottom w:val="0"/>
      <w:divBdr>
        <w:top w:val="none" w:sz="0" w:space="0" w:color="auto"/>
        <w:left w:val="none" w:sz="0" w:space="0" w:color="auto"/>
        <w:bottom w:val="none" w:sz="0" w:space="0" w:color="auto"/>
        <w:right w:val="none" w:sz="0" w:space="0" w:color="auto"/>
      </w:divBdr>
    </w:div>
    <w:div w:id="1763718394">
      <w:bodyDiv w:val="1"/>
      <w:marLeft w:val="0"/>
      <w:marRight w:val="0"/>
      <w:marTop w:val="0"/>
      <w:marBottom w:val="0"/>
      <w:divBdr>
        <w:top w:val="none" w:sz="0" w:space="0" w:color="auto"/>
        <w:left w:val="none" w:sz="0" w:space="0" w:color="auto"/>
        <w:bottom w:val="none" w:sz="0" w:space="0" w:color="auto"/>
        <w:right w:val="none" w:sz="0" w:space="0" w:color="auto"/>
      </w:divBdr>
      <w:divsChild>
        <w:div w:id="14512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79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4693665">
      <w:bodyDiv w:val="1"/>
      <w:marLeft w:val="0"/>
      <w:marRight w:val="0"/>
      <w:marTop w:val="0"/>
      <w:marBottom w:val="0"/>
      <w:divBdr>
        <w:top w:val="none" w:sz="0" w:space="0" w:color="auto"/>
        <w:left w:val="none" w:sz="0" w:space="0" w:color="auto"/>
        <w:bottom w:val="none" w:sz="0" w:space="0" w:color="auto"/>
        <w:right w:val="none" w:sz="0" w:space="0" w:color="auto"/>
      </w:divBdr>
    </w:div>
    <w:div w:id="21352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roductiveaccess.org/resource/medication-abortion-aftercare-instructions-vaginal-miso/" TargetMode="External"/><Relationship Id="rId3" Type="http://schemas.openxmlformats.org/officeDocument/2006/relationships/settings" Target="settings.xml"/><Relationship Id="rId7" Type="http://schemas.openxmlformats.org/officeDocument/2006/relationships/hyperlink" Target="https://www.reproductiveaccess.org/resource/medication-abortion-aftercare-instructions-buc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mgolub</dc:creator>
  <cp:lastModifiedBy>Microsoft Office User</cp:lastModifiedBy>
  <cp:revision>3</cp:revision>
  <dcterms:created xsi:type="dcterms:W3CDTF">2021-05-28T16:58:00Z</dcterms:created>
  <dcterms:modified xsi:type="dcterms:W3CDTF">2021-05-28T16:59:00Z</dcterms:modified>
</cp:coreProperties>
</file>