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6F993" w14:textId="77777777" w:rsidR="004B4D95" w:rsidRDefault="004B4D95">
      <w:pPr>
        <w:pStyle w:val="Normal1"/>
        <w:rPr>
          <w:rFonts w:ascii="Calibri" w:eastAsia="Calibri" w:hAnsi="Calibri" w:cs="Calibri"/>
          <w:b/>
        </w:rPr>
      </w:pPr>
    </w:p>
    <w:p w14:paraId="794142FB" w14:textId="77777777" w:rsidR="004B4D95" w:rsidRDefault="004B4D95">
      <w:pPr>
        <w:pStyle w:val="Normal1"/>
        <w:rPr>
          <w:rFonts w:ascii="Calibri" w:eastAsia="Calibri" w:hAnsi="Calibri" w:cs="Calibri"/>
          <w:b/>
        </w:rPr>
      </w:pPr>
    </w:p>
    <w:p w14:paraId="205EBBBB" w14:textId="4FFFB7AA" w:rsidR="004B4D95" w:rsidRPr="00A1264E" w:rsidRDefault="0086703D">
      <w:pPr>
        <w:pStyle w:val="Normal1"/>
        <w:rPr>
          <w:rFonts w:ascii="Calibri" w:eastAsia="Calibri" w:hAnsi="Calibri" w:cs="Calibri"/>
        </w:rPr>
      </w:pPr>
      <w:r>
        <w:rPr>
          <w:rFonts w:ascii="Calibri" w:eastAsia="Calibri" w:hAnsi="Calibri" w:cs="Calibri"/>
          <w:b/>
        </w:rPr>
        <w:t xml:space="preserve">Date: </w:t>
      </w:r>
      <w:r w:rsidR="00F76EC6">
        <w:rPr>
          <w:rFonts w:ascii="Calibri" w:eastAsia="Calibri" w:hAnsi="Calibri" w:cs="Calibri"/>
        </w:rPr>
        <w:t>00/00</w:t>
      </w:r>
      <w:r>
        <w:rPr>
          <w:rFonts w:ascii="Calibri" w:eastAsia="Calibri" w:hAnsi="Calibri" w:cs="Calibri"/>
        </w:rPr>
        <w:t>/</w:t>
      </w:r>
      <w:r w:rsidR="00F76EC6">
        <w:rPr>
          <w:rFonts w:ascii="Calibri" w:eastAsia="Calibri" w:hAnsi="Calibri" w:cs="Calibri"/>
        </w:rPr>
        <w:t>2018</w:t>
      </w:r>
    </w:p>
    <w:p w14:paraId="6D54B691" w14:textId="77777777" w:rsidR="004B4D95" w:rsidRDefault="0086703D">
      <w:pPr>
        <w:pStyle w:val="Normal1"/>
        <w:jc w:val="center"/>
        <w:rPr>
          <w:rFonts w:ascii="Calibri" w:eastAsia="Calibri" w:hAnsi="Calibri" w:cs="Calibri"/>
          <w:b/>
          <w:sz w:val="24"/>
          <w:szCs w:val="24"/>
        </w:rPr>
      </w:pPr>
      <w:r>
        <w:rPr>
          <w:rFonts w:ascii="Calibri" w:eastAsia="Calibri" w:hAnsi="Calibri" w:cs="Calibri"/>
          <w:b/>
        </w:rPr>
        <w:tab/>
      </w:r>
      <w:r>
        <w:rPr>
          <w:rFonts w:ascii="Calibri" w:eastAsia="Calibri" w:hAnsi="Calibri" w:cs="Calibri"/>
          <w:b/>
          <w:sz w:val="24"/>
          <w:szCs w:val="24"/>
        </w:rPr>
        <w:t>Removing REMS Categorization on Mifepristone</w:t>
      </w:r>
    </w:p>
    <w:p w14:paraId="65ECDD5F" w14:textId="77777777" w:rsidR="004B4D95" w:rsidRDefault="004B4D95">
      <w:pPr>
        <w:pStyle w:val="Normal1"/>
        <w:rPr>
          <w:rFonts w:ascii="Calibri" w:eastAsia="Calibri" w:hAnsi="Calibri" w:cs="Calibri"/>
          <w:b/>
        </w:rPr>
      </w:pPr>
    </w:p>
    <w:p w14:paraId="4AF579BA" w14:textId="4B159753" w:rsidR="004B4D95" w:rsidRPr="00413C2B" w:rsidRDefault="0086703D">
      <w:pPr>
        <w:pStyle w:val="Normal1"/>
        <w:ind w:left="2160" w:hanging="2160"/>
        <w:rPr>
          <w:rFonts w:ascii="Calibri" w:eastAsia="Calibri" w:hAnsi="Calibri" w:cs="Calibri"/>
        </w:rPr>
      </w:pPr>
      <w:bookmarkStart w:id="0" w:name="_gjdgxs" w:colFirst="0" w:colLast="0"/>
      <w:bookmarkEnd w:id="0"/>
      <w:r>
        <w:rPr>
          <w:rFonts w:ascii="Calibri" w:eastAsia="Calibri" w:hAnsi="Calibri" w:cs="Calibri"/>
          <w:b/>
        </w:rPr>
        <w:t>Introduced by:</w:t>
      </w:r>
      <w:r w:rsidR="00413C2B">
        <w:rPr>
          <w:rFonts w:ascii="Calibri" w:eastAsia="Calibri" w:hAnsi="Calibri" w:cs="Calibri"/>
          <w:b/>
        </w:rPr>
        <w:t xml:space="preserve">  </w:t>
      </w:r>
      <w:r w:rsidR="00F76EC6">
        <w:rPr>
          <w:rFonts w:ascii="Calibri" w:eastAsia="Calibri" w:hAnsi="Calibri" w:cs="Calibri"/>
        </w:rPr>
        <w:t>[Name(s) and State Chapter]</w:t>
      </w:r>
    </w:p>
    <w:p w14:paraId="464BA3D8" w14:textId="77777777" w:rsidR="004B4D95" w:rsidRDefault="004B4D95">
      <w:pPr>
        <w:pStyle w:val="Normal1"/>
        <w:rPr>
          <w:rFonts w:ascii="Calibri" w:eastAsia="Calibri" w:hAnsi="Calibri" w:cs="Calibri"/>
          <w:b/>
        </w:rPr>
      </w:pPr>
    </w:p>
    <w:p w14:paraId="5ED9760D" w14:textId="77777777" w:rsidR="004B4D95" w:rsidRDefault="0086703D">
      <w:pPr>
        <w:pStyle w:val="Normal1"/>
        <w:rPr>
          <w:rFonts w:ascii="Calibri" w:eastAsia="Calibri" w:hAnsi="Calibri" w:cs="Calibri"/>
        </w:rPr>
      </w:pPr>
      <w:r>
        <w:rPr>
          <w:rFonts w:ascii="Calibri" w:eastAsia="Calibri" w:hAnsi="Calibri" w:cs="Calibri"/>
          <w:b/>
        </w:rPr>
        <w:t xml:space="preserve">WHEREAS, </w:t>
      </w:r>
      <w:r>
        <w:rPr>
          <w:rFonts w:ascii="Calibri" w:eastAsia="Calibri" w:hAnsi="Calibri" w:cs="Calibri"/>
        </w:rPr>
        <w:t>the Food and Drug Administration (FDA) uses the Risk Evaluation and Mitigation Strategies (REMS) classification to impose restrictions on only the most dangerous drugs with known or suspected serious complications or contraindications,</w:t>
      </w:r>
      <w:r>
        <w:rPr>
          <w:rFonts w:ascii="Calibri" w:eastAsia="Calibri" w:hAnsi="Calibri" w:cs="Calibri"/>
          <w:vertAlign w:val="superscript"/>
        </w:rPr>
        <w:footnoteReference w:id="1"/>
      </w:r>
      <w:r>
        <w:rPr>
          <w:rFonts w:ascii="Calibri" w:eastAsia="Calibri" w:hAnsi="Calibri" w:cs="Calibri"/>
        </w:rPr>
        <w:t xml:space="preserve"> </w:t>
      </w:r>
      <w:r>
        <w:rPr>
          <w:rFonts w:ascii="Calibri" w:eastAsia="Calibri" w:hAnsi="Calibri" w:cs="Calibri"/>
          <w:vertAlign w:val="superscript"/>
        </w:rPr>
        <w:footnoteReference w:id="2"/>
      </w:r>
      <w:r>
        <w:rPr>
          <w:rFonts w:ascii="Calibri" w:eastAsia="Calibri" w:hAnsi="Calibri" w:cs="Calibri"/>
          <w:vertAlign w:val="superscript"/>
        </w:rPr>
        <w:t xml:space="preserve"> </w:t>
      </w:r>
      <w:r>
        <w:rPr>
          <w:rFonts w:ascii="Calibri" w:eastAsia="Calibri" w:hAnsi="Calibri" w:cs="Calibri"/>
        </w:rPr>
        <w:t>and</w:t>
      </w:r>
    </w:p>
    <w:p w14:paraId="5792AFBB" w14:textId="77777777" w:rsidR="004B4D95" w:rsidRDefault="004B4D95">
      <w:pPr>
        <w:pStyle w:val="Normal1"/>
        <w:rPr>
          <w:rFonts w:ascii="Calibri" w:eastAsia="Calibri" w:hAnsi="Calibri" w:cs="Calibri"/>
          <w:b/>
        </w:rPr>
      </w:pPr>
    </w:p>
    <w:p w14:paraId="316C7F10" w14:textId="77777777" w:rsidR="004B4D95" w:rsidRDefault="0086703D">
      <w:pPr>
        <w:pStyle w:val="Normal1"/>
        <w:rPr>
          <w:rFonts w:ascii="Calibri" w:eastAsia="Calibri" w:hAnsi="Calibri" w:cs="Calibri"/>
        </w:rPr>
      </w:pPr>
      <w:r>
        <w:rPr>
          <w:rFonts w:ascii="Calibri" w:eastAsia="Calibri" w:hAnsi="Calibri" w:cs="Calibri"/>
          <w:b/>
        </w:rPr>
        <w:t xml:space="preserve">WHEREAS, </w:t>
      </w:r>
      <w:r>
        <w:rPr>
          <w:rFonts w:ascii="Calibri" w:eastAsia="Calibri" w:hAnsi="Calibri" w:cs="Calibri"/>
        </w:rPr>
        <w:t>although</w:t>
      </w:r>
      <w:r>
        <w:rPr>
          <w:rFonts w:ascii="Calibri" w:eastAsia="Calibri" w:hAnsi="Calibri" w:cs="Calibri"/>
          <w:b/>
        </w:rPr>
        <w:t xml:space="preserve"> </w:t>
      </w:r>
      <w:r>
        <w:rPr>
          <w:rFonts w:ascii="Calibri" w:eastAsia="Calibri" w:hAnsi="Calibri" w:cs="Calibri"/>
        </w:rPr>
        <w:t>the current FDA label for mifepristone was modified in 2016 to reflect more evidenced-based dosing and gestational limits,</w:t>
      </w:r>
      <w:r>
        <w:rPr>
          <w:rFonts w:ascii="Calibri" w:eastAsia="Calibri" w:hAnsi="Calibri" w:cs="Calibri"/>
          <w:vertAlign w:val="superscript"/>
        </w:rPr>
        <w:footnoteReference w:id="3"/>
      </w:r>
      <w:r>
        <w:rPr>
          <w:rFonts w:ascii="Calibri" w:eastAsia="Calibri" w:hAnsi="Calibri" w:cs="Calibri"/>
        </w:rPr>
        <w:t xml:space="preserve"> </w:t>
      </w:r>
      <w:r>
        <w:rPr>
          <w:rFonts w:ascii="Calibri" w:eastAsia="Calibri" w:hAnsi="Calibri" w:cs="Calibri"/>
          <w:vertAlign w:val="superscript"/>
        </w:rPr>
        <w:footnoteReference w:id="4"/>
      </w:r>
      <w:r>
        <w:rPr>
          <w:rFonts w:ascii="Calibri" w:eastAsia="Calibri" w:hAnsi="Calibri" w:cs="Calibri"/>
        </w:rPr>
        <w:t xml:space="preserve"> the label still includes a REMS classification requiring three provisions to “assure safe use,”</w:t>
      </w:r>
      <w:r>
        <w:rPr>
          <w:rFonts w:ascii="Calibri" w:eastAsia="Calibri" w:hAnsi="Calibri" w:cs="Calibri"/>
          <w:vertAlign w:val="superscript"/>
        </w:rPr>
        <w:footnoteReference w:id="5"/>
      </w:r>
      <w:r>
        <w:rPr>
          <w:rFonts w:ascii="Calibri" w:eastAsia="Calibri" w:hAnsi="Calibri" w:cs="Calibri"/>
        </w:rPr>
        <w:t xml:space="preserve"> including that 1) mifepristone be dispensed in a healthcare setting under supervision from 2) a provider who is registered and has signed a provider agreement with the pharmaceutical distributor, and 3) the patient sign an FDA-approved Patient Agreement Form, and</w:t>
      </w:r>
    </w:p>
    <w:p w14:paraId="2A535265" w14:textId="77777777" w:rsidR="004B4D95" w:rsidRDefault="004B4D95">
      <w:pPr>
        <w:pStyle w:val="Normal1"/>
        <w:rPr>
          <w:rFonts w:ascii="Calibri" w:eastAsia="Calibri" w:hAnsi="Calibri" w:cs="Calibri"/>
          <w:b/>
        </w:rPr>
      </w:pPr>
    </w:p>
    <w:p w14:paraId="598CAE67" w14:textId="77777777" w:rsidR="004B4D95" w:rsidRDefault="0086703D">
      <w:pPr>
        <w:pStyle w:val="Normal1"/>
        <w:rPr>
          <w:rFonts w:ascii="Calibri" w:eastAsia="Calibri" w:hAnsi="Calibri" w:cs="Calibri"/>
          <w:highlight w:val="white"/>
        </w:rPr>
      </w:pPr>
      <w:r>
        <w:rPr>
          <w:rFonts w:ascii="Calibri" w:eastAsia="Calibri" w:hAnsi="Calibri" w:cs="Calibri"/>
          <w:b/>
        </w:rPr>
        <w:t xml:space="preserve">WHEREAS, </w:t>
      </w:r>
      <w:r>
        <w:rPr>
          <w:rFonts w:ascii="Calibri" w:eastAsia="Calibri" w:hAnsi="Calibri" w:cs="Calibri"/>
          <w:highlight w:val="white"/>
        </w:rPr>
        <w:t>the American Academy of Family Physicians (AAFP) “supports a woman's access to reproductive health services and opposes non-evidence-based restrictions on medical care and the provision of such services,”</w:t>
      </w:r>
      <w:r>
        <w:rPr>
          <w:rFonts w:ascii="Calibri" w:eastAsia="Calibri" w:hAnsi="Calibri" w:cs="Calibri"/>
          <w:highlight w:val="white"/>
          <w:vertAlign w:val="superscript"/>
        </w:rPr>
        <w:footnoteReference w:id="6"/>
      </w:r>
      <w:r>
        <w:rPr>
          <w:rFonts w:ascii="Calibri" w:eastAsia="Calibri" w:hAnsi="Calibri" w:cs="Calibri"/>
          <w:highlight w:val="white"/>
        </w:rPr>
        <w:t xml:space="preserve"> and</w:t>
      </w:r>
    </w:p>
    <w:p w14:paraId="050B8ABA" w14:textId="77777777" w:rsidR="004B4D95" w:rsidRDefault="004B4D95">
      <w:pPr>
        <w:pStyle w:val="Normal1"/>
        <w:rPr>
          <w:rFonts w:ascii="Calibri" w:eastAsia="Calibri" w:hAnsi="Calibri" w:cs="Calibri"/>
          <w:highlight w:val="white"/>
        </w:rPr>
      </w:pPr>
    </w:p>
    <w:p w14:paraId="26D5A4DD" w14:textId="77777777" w:rsidR="004B4D95" w:rsidRDefault="0086703D">
      <w:pPr>
        <w:pStyle w:val="Normal1"/>
        <w:rPr>
          <w:rFonts w:ascii="Calibri" w:eastAsia="Calibri" w:hAnsi="Calibri" w:cs="Calibri"/>
        </w:rPr>
      </w:pPr>
      <w:r>
        <w:rPr>
          <w:rFonts w:ascii="Calibri" w:eastAsia="Calibri" w:hAnsi="Calibri" w:cs="Calibri"/>
          <w:b/>
        </w:rPr>
        <w:t xml:space="preserve">WHEREAS, </w:t>
      </w:r>
      <w:r>
        <w:rPr>
          <w:rFonts w:ascii="Calibri" w:eastAsia="Calibri" w:hAnsi="Calibri" w:cs="Calibri"/>
        </w:rPr>
        <w:t>the REMS restrictions on mifepristone are not based on scientific evidence</w:t>
      </w:r>
      <w:r>
        <w:rPr>
          <w:rFonts w:ascii="Calibri" w:eastAsia="Calibri" w:hAnsi="Calibri" w:cs="Calibri"/>
          <w:vertAlign w:val="superscript"/>
        </w:rPr>
        <w:footnoteReference w:id="7"/>
      </w:r>
      <w:r>
        <w:rPr>
          <w:rFonts w:ascii="Calibri" w:eastAsia="Calibri" w:hAnsi="Calibri" w:cs="Calibri"/>
        </w:rPr>
        <w:t xml:space="preserve"> </w:t>
      </w:r>
      <w:r>
        <w:rPr>
          <w:rFonts w:ascii="Calibri" w:eastAsia="Calibri" w:hAnsi="Calibri" w:cs="Calibri"/>
          <w:vertAlign w:val="superscript"/>
        </w:rPr>
        <w:footnoteReference w:id="8"/>
      </w:r>
      <w:r>
        <w:rPr>
          <w:rFonts w:ascii="Calibri" w:eastAsia="Calibri" w:hAnsi="Calibri" w:cs="Calibri"/>
        </w:rPr>
        <w:t xml:space="preserve"> </w:t>
      </w:r>
      <w:r>
        <w:rPr>
          <w:rFonts w:ascii="Calibri" w:eastAsia="Calibri" w:hAnsi="Calibri" w:cs="Calibri"/>
          <w:vertAlign w:val="superscript"/>
        </w:rPr>
        <w:footnoteReference w:id="9"/>
      </w:r>
      <w:r>
        <w:rPr>
          <w:rFonts w:ascii="Calibri" w:eastAsia="Calibri" w:hAnsi="Calibri" w:cs="Calibri"/>
        </w:rPr>
        <w:t xml:space="preserve"> </w:t>
      </w:r>
      <w:r>
        <w:rPr>
          <w:rFonts w:ascii="Calibri" w:eastAsia="Calibri" w:hAnsi="Calibri" w:cs="Calibri"/>
          <w:vertAlign w:val="superscript"/>
        </w:rPr>
        <w:footnoteReference w:id="10"/>
      </w:r>
      <w:r>
        <w:rPr>
          <w:rFonts w:ascii="Calibri" w:eastAsia="Calibri" w:hAnsi="Calibri" w:cs="Calibri"/>
        </w:rPr>
        <w:t xml:space="preserve"> </w:t>
      </w:r>
      <w:r>
        <w:rPr>
          <w:rFonts w:ascii="Calibri" w:eastAsia="Calibri" w:hAnsi="Calibri" w:cs="Calibri"/>
          <w:vertAlign w:val="superscript"/>
        </w:rPr>
        <w:footnoteReference w:id="11"/>
      </w:r>
      <w:r>
        <w:rPr>
          <w:rFonts w:ascii="Calibri" w:eastAsia="Calibri" w:hAnsi="Calibri" w:cs="Calibri"/>
        </w:rPr>
        <w:t xml:space="preserve"> and cause significant barriers to accessing abortion care,</w:t>
      </w:r>
      <w:r>
        <w:rPr>
          <w:rFonts w:ascii="Calibri" w:eastAsia="Calibri" w:hAnsi="Calibri" w:cs="Calibri"/>
          <w:vertAlign w:val="superscript"/>
        </w:rPr>
        <w:footnoteReference w:id="12"/>
      </w:r>
      <w:r>
        <w:rPr>
          <w:rFonts w:ascii="Calibri" w:eastAsia="Calibri" w:hAnsi="Calibri" w:cs="Calibri"/>
        </w:rPr>
        <w:t xml:space="preserve"> (such as landlords whose leases don’t allow abortions to be done on site, managers who won’t allow stocking of mifepristone, and colleagues who object to provision), and</w:t>
      </w:r>
    </w:p>
    <w:p w14:paraId="52F081A2" w14:textId="77777777" w:rsidR="00413C2B" w:rsidRDefault="00413C2B">
      <w:pPr>
        <w:pStyle w:val="Normal1"/>
        <w:rPr>
          <w:rFonts w:ascii="Calibri" w:eastAsia="Calibri" w:hAnsi="Calibri" w:cs="Calibri"/>
        </w:rPr>
      </w:pPr>
    </w:p>
    <w:p w14:paraId="326A9592" w14:textId="77777777" w:rsidR="00CE14DB" w:rsidRDefault="00CE14DB">
      <w:pPr>
        <w:pStyle w:val="Normal1"/>
        <w:rPr>
          <w:rFonts w:ascii="Calibri" w:eastAsia="Calibri" w:hAnsi="Calibri" w:cs="Calibri"/>
        </w:rPr>
      </w:pPr>
    </w:p>
    <w:p w14:paraId="54257AB4" w14:textId="77777777" w:rsidR="00CE14DB" w:rsidRDefault="00CE14DB" w:rsidP="00CE14DB">
      <w:pPr>
        <w:pStyle w:val="Normal1"/>
        <w:rPr>
          <w:rFonts w:ascii="Calibri" w:eastAsia="Calibri" w:hAnsi="Calibri" w:cs="Calibri"/>
        </w:rPr>
      </w:pPr>
    </w:p>
    <w:p w14:paraId="24907000" w14:textId="77777777" w:rsidR="00CE14DB" w:rsidRDefault="00CE14DB" w:rsidP="00CE14DB">
      <w:pPr>
        <w:pStyle w:val="Normal1"/>
        <w:rPr>
          <w:rFonts w:ascii="Calibri" w:eastAsia="Calibri" w:hAnsi="Calibri" w:cs="Calibri"/>
        </w:rPr>
      </w:pPr>
      <w:r w:rsidRPr="00413C2B">
        <w:rPr>
          <w:rFonts w:ascii="Calibri" w:eastAsia="Calibri" w:hAnsi="Calibri" w:cs="Calibri"/>
          <w:b/>
        </w:rPr>
        <w:lastRenderedPageBreak/>
        <w:t>WHEREAS</w:t>
      </w:r>
      <w:r>
        <w:rPr>
          <w:rFonts w:ascii="Calibri" w:eastAsia="Calibri" w:hAnsi="Calibri" w:cs="Calibri"/>
        </w:rPr>
        <w:t xml:space="preserve">, stocking Mifepristone in the office causes an upfront expense and financial burden which can be difficult for small practitioners to bear, further decreasing access for patients who might prefer to go to their own physician, and </w:t>
      </w:r>
    </w:p>
    <w:p w14:paraId="6D227AF7" w14:textId="77777777" w:rsidR="004B4D95" w:rsidRDefault="004B4D95">
      <w:pPr>
        <w:pStyle w:val="Normal1"/>
        <w:rPr>
          <w:rFonts w:ascii="Calibri" w:eastAsia="Calibri" w:hAnsi="Calibri" w:cs="Calibri"/>
          <w:b/>
        </w:rPr>
      </w:pPr>
    </w:p>
    <w:p w14:paraId="5ED436E9" w14:textId="77777777" w:rsidR="004B4D95" w:rsidRDefault="0086703D">
      <w:pPr>
        <w:pStyle w:val="Normal1"/>
        <w:rPr>
          <w:rFonts w:ascii="Calibri" w:eastAsia="Calibri" w:hAnsi="Calibri" w:cs="Calibri"/>
        </w:rPr>
      </w:pPr>
      <w:r>
        <w:rPr>
          <w:rFonts w:ascii="Calibri" w:eastAsia="Calibri" w:hAnsi="Calibri" w:cs="Calibri"/>
          <w:b/>
        </w:rPr>
        <w:t xml:space="preserve">WHEREAS, </w:t>
      </w:r>
      <w:r>
        <w:rPr>
          <w:rFonts w:ascii="Calibri" w:eastAsia="Calibri" w:hAnsi="Calibri" w:cs="Calibri"/>
        </w:rPr>
        <w:t>there are 16 years of data proving an outstanding safety record of mifepristone,</w:t>
      </w:r>
      <w:r>
        <w:rPr>
          <w:rFonts w:ascii="Calibri" w:eastAsia="Calibri" w:hAnsi="Calibri" w:cs="Calibri"/>
          <w:vertAlign w:val="superscript"/>
        </w:rPr>
        <w:t xml:space="preserve">7-11 </w:t>
      </w:r>
      <w:r>
        <w:rPr>
          <w:rFonts w:ascii="Calibri" w:eastAsia="Calibri" w:hAnsi="Calibri" w:cs="Calibri"/>
        </w:rPr>
        <w:t>including a 0.05% risk of major complications,</w:t>
      </w:r>
      <w:r>
        <w:rPr>
          <w:rFonts w:ascii="Calibri" w:eastAsia="Calibri" w:hAnsi="Calibri" w:cs="Calibri"/>
          <w:vertAlign w:val="superscript"/>
        </w:rPr>
        <w:t>11</w:t>
      </w:r>
      <w:r>
        <w:rPr>
          <w:rFonts w:ascii="Calibri" w:eastAsia="Calibri" w:hAnsi="Calibri" w:cs="Calibri"/>
        </w:rPr>
        <w:t xml:space="preserve"> and</w:t>
      </w:r>
    </w:p>
    <w:p w14:paraId="0E4B791E" w14:textId="77777777" w:rsidR="004B4D95" w:rsidRDefault="004B4D95">
      <w:pPr>
        <w:pStyle w:val="Normal1"/>
        <w:rPr>
          <w:rFonts w:ascii="Calibri" w:eastAsia="Calibri" w:hAnsi="Calibri" w:cs="Calibri"/>
        </w:rPr>
      </w:pPr>
    </w:p>
    <w:p w14:paraId="007219AB" w14:textId="77777777" w:rsidR="004B4D95" w:rsidRDefault="0086703D">
      <w:pPr>
        <w:pStyle w:val="Normal1"/>
        <w:rPr>
          <w:rFonts w:ascii="Calibri" w:eastAsia="Calibri" w:hAnsi="Calibri" w:cs="Calibri"/>
        </w:rPr>
      </w:pPr>
      <w:r>
        <w:rPr>
          <w:rFonts w:ascii="Calibri" w:eastAsia="Calibri" w:hAnsi="Calibri" w:cs="Calibri"/>
          <w:b/>
        </w:rPr>
        <w:t xml:space="preserve">WHEREAS, </w:t>
      </w:r>
      <w:r>
        <w:rPr>
          <w:rFonts w:ascii="Calibri" w:eastAsia="Calibri" w:hAnsi="Calibri" w:cs="Calibri"/>
        </w:rPr>
        <w:t>other drugs with higher complication rates, such as acetaminophen, aspirin, loratadine, and sildenafil, do not have REMS restrictions,</w:t>
      </w:r>
      <w:r>
        <w:rPr>
          <w:rFonts w:ascii="Calibri" w:eastAsia="Calibri" w:hAnsi="Calibri" w:cs="Calibri"/>
          <w:vertAlign w:val="superscript"/>
        </w:rPr>
        <w:footnoteReference w:id="13"/>
      </w:r>
      <w:r>
        <w:rPr>
          <w:rFonts w:ascii="Calibri" w:eastAsia="Calibri" w:hAnsi="Calibri" w:cs="Calibri"/>
          <w:vertAlign w:val="superscript"/>
        </w:rPr>
        <w:t xml:space="preserve"> </w:t>
      </w:r>
      <w:r>
        <w:rPr>
          <w:rFonts w:ascii="Calibri" w:eastAsia="Calibri" w:hAnsi="Calibri" w:cs="Calibri"/>
          <w:vertAlign w:val="superscript"/>
        </w:rPr>
        <w:footnoteReference w:id="14"/>
      </w:r>
      <w:r>
        <w:rPr>
          <w:rFonts w:ascii="Calibri" w:eastAsia="Calibri" w:hAnsi="Calibri" w:cs="Calibri"/>
          <w:vertAlign w:val="superscript"/>
        </w:rPr>
        <w:t xml:space="preserve"> </w:t>
      </w:r>
      <w:r>
        <w:rPr>
          <w:rFonts w:ascii="Calibri" w:eastAsia="Calibri" w:hAnsi="Calibri" w:cs="Calibri"/>
          <w:vertAlign w:val="superscript"/>
        </w:rPr>
        <w:footnoteReference w:id="15"/>
      </w:r>
      <w:r>
        <w:rPr>
          <w:rFonts w:ascii="Calibri" w:eastAsia="Calibri" w:hAnsi="Calibri" w:cs="Calibri"/>
        </w:rPr>
        <w:t xml:space="preserve"> </w:t>
      </w:r>
      <w:r>
        <w:rPr>
          <w:rFonts w:ascii="Calibri" w:eastAsia="Calibri" w:hAnsi="Calibri" w:cs="Calibri"/>
          <w:vertAlign w:val="superscript"/>
        </w:rPr>
        <w:footnoteReference w:id="16"/>
      </w:r>
      <w:r>
        <w:rPr>
          <w:rFonts w:ascii="Calibri" w:eastAsia="Calibri" w:hAnsi="Calibri" w:cs="Calibri"/>
        </w:rPr>
        <w:t xml:space="preserve"> and </w:t>
      </w:r>
    </w:p>
    <w:p w14:paraId="344F5737" w14:textId="77777777" w:rsidR="004B4D95" w:rsidRDefault="004B4D95">
      <w:pPr>
        <w:pStyle w:val="Normal1"/>
        <w:rPr>
          <w:rFonts w:ascii="Calibri" w:eastAsia="Calibri" w:hAnsi="Calibri" w:cs="Calibri"/>
        </w:rPr>
      </w:pPr>
    </w:p>
    <w:p w14:paraId="62D1A542" w14:textId="77777777" w:rsidR="004B4D95" w:rsidRDefault="0086703D">
      <w:pPr>
        <w:pStyle w:val="Normal1"/>
        <w:rPr>
          <w:rFonts w:ascii="Calibri" w:eastAsia="Calibri" w:hAnsi="Calibri" w:cs="Calibri"/>
        </w:rPr>
      </w:pPr>
      <w:r>
        <w:rPr>
          <w:rFonts w:ascii="Calibri" w:eastAsia="Calibri" w:hAnsi="Calibri" w:cs="Calibri"/>
          <w:b/>
        </w:rPr>
        <w:t xml:space="preserve">WHEREAS, </w:t>
      </w:r>
      <w:r>
        <w:rPr>
          <w:rFonts w:ascii="Calibri" w:eastAsia="Calibri" w:hAnsi="Calibri" w:cs="Calibri"/>
        </w:rPr>
        <w:t>the REMS classification contributes to delays in care,</w:t>
      </w:r>
      <w:r>
        <w:rPr>
          <w:rFonts w:ascii="Calibri" w:eastAsia="Calibri" w:hAnsi="Calibri" w:cs="Calibri"/>
          <w:vertAlign w:val="superscript"/>
        </w:rPr>
        <w:t xml:space="preserve">7, </w:t>
      </w:r>
      <w:r>
        <w:rPr>
          <w:rFonts w:ascii="Calibri" w:eastAsia="Calibri" w:hAnsi="Calibri" w:cs="Calibri"/>
          <w:vertAlign w:val="superscript"/>
        </w:rPr>
        <w:footnoteReference w:id="17"/>
      </w:r>
      <w:r>
        <w:rPr>
          <w:rFonts w:ascii="Calibri" w:eastAsia="Calibri" w:hAnsi="Calibri" w:cs="Calibri"/>
        </w:rPr>
        <w:t xml:space="preserve"> thereby increasing second-trimester and surgical abortions, both of which have increased complication rates, and</w:t>
      </w:r>
    </w:p>
    <w:p w14:paraId="1FBDB6DF" w14:textId="77777777" w:rsidR="004B4D95" w:rsidRDefault="004B4D95">
      <w:pPr>
        <w:pStyle w:val="Normal1"/>
        <w:rPr>
          <w:rFonts w:ascii="Calibri" w:eastAsia="Calibri" w:hAnsi="Calibri" w:cs="Calibri"/>
          <w:b/>
        </w:rPr>
      </w:pPr>
    </w:p>
    <w:p w14:paraId="4C1D5BBB" w14:textId="55C98BBF" w:rsidR="004B4D95" w:rsidRDefault="0086703D">
      <w:pPr>
        <w:pStyle w:val="Normal1"/>
        <w:rPr>
          <w:rFonts w:ascii="Calibri" w:eastAsia="Calibri" w:hAnsi="Calibri" w:cs="Calibri"/>
        </w:rPr>
      </w:pPr>
      <w:r>
        <w:rPr>
          <w:rFonts w:ascii="Calibri" w:eastAsia="Calibri" w:hAnsi="Calibri" w:cs="Calibri"/>
          <w:b/>
        </w:rPr>
        <w:t xml:space="preserve">WHEREAS, </w:t>
      </w:r>
      <w:r>
        <w:rPr>
          <w:rFonts w:ascii="Calibri" w:eastAsia="Calibri" w:hAnsi="Calibri" w:cs="Calibri"/>
        </w:rPr>
        <w:t>the REMS classification creates a barrier to safe and effective off-label uses of mifepristone, such as for anti-corticoid treatment of Cushing's disease, term labor induction, and miscarriage management,</w:t>
      </w:r>
      <w:r>
        <w:rPr>
          <w:rFonts w:ascii="Calibri" w:eastAsia="Calibri" w:hAnsi="Calibri" w:cs="Calibri"/>
          <w:vertAlign w:val="superscript"/>
        </w:rPr>
        <w:footnoteReference w:id="18"/>
      </w:r>
      <w:r>
        <w:rPr>
          <w:rFonts w:ascii="Calibri" w:eastAsia="Calibri" w:hAnsi="Calibri" w:cs="Calibri"/>
        </w:rPr>
        <w:t xml:space="preserve"> </w:t>
      </w:r>
      <w:r w:rsidR="0096334A">
        <w:rPr>
          <w:rFonts w:ascii="Calibri" w:eastAsia="Calibri" w:hAnsi="Calibri" w:cs="Calibri"/>
        </w:rPr>
        <w:t>and</w:t>
      </w:r>
    </w:p>
    <w:p w14:paraId="4A57E32D" w14:textId="77777777" w:rsidR="0096334A" w:rsidRDefault="0096334A">
      <w:pPr>
        <w:pStyle w:val="Normal1"/>
        <w:rPr>
          <w:rFonts w:ascii="Calibri" w:eastAsia="Calibri" w:hAnsi="Calibri" w:cs="Calibri"/>
        </w:rPr>
      </w:pPr>
    </w:p>
    <w:p w14:paraId="27029C70" w14:textId="042239F1" w:rsidR="0096334A" w:rsidRPr="0096334A" w:rsidRDefault="0096334A">
      <w:pPr>
        <w:pStyle w:val="Normal1"/>
        <w:rPr>
          <w:rFonts w:ascii="Calibri" w:eastAsia="Calibri" w:hAnsi="Calibri" w:cs="Calibri"/>
        </w:rPr>
      </w:pPr>
      <w:r w:rsidRPr="00413C2B">
        <w:rPr>
          <w:rFonts w:ascii="Calibri" w:eastAsia="Calibri" w:hAnsi="Calibri" w:cs="Calibri"/>
          <w:b/>
        </w:rPr>
        <w:t>WHEREAS</w:t>
      </w:r>
      <w:r>
        <w:rPr>
          <w:rFonts w:ascii="Calibri" w:eastAsia="Calibri" w:hAnsi="Calibri" w:cs="Calibri"/>
        </w:rPr>
        <w:t>the American Congress of Obstetricians and Gynecologists (ACOG) “believes that a Risk Evaluation and Mitigration Strategy (REMS) is no longer necessary for mifepristone, given its history of safe use. The REMS requirement is inconsistnt with requitements for other drugs with similar or greater risks, specially in light of the significant benet that mifepristone proves to patient,”</w:t>
      </w:r>
      <w:r>
        <w:rPr>
          <w:rFonts w:ascii="Calibri" w:eastAsia="Calibri" w:hAnsi="Calibri" w:cs="Calibri"/>
          <w:vertAlign w:val="superscript"/>
        </w:rPr>
        <w:t>19</w:t>
      </w:r>
      <w:r>
        <w:rPr>
          <w:rFonts w:ascii="Calibri" w:eastAsia="Calibri" w:hAnsi="Calibri" w:cs="Calibri"/>
        </w:rPr>
        <w:t xml:space="preserve"> now, therefore be it</w:t>
      </w:r>
    </w:p>
    <w:p w14:paraId="4056B698" w14:textId="77777777" w:rsidR="004B4D95" w:rsidRDefault="004B4D95">
      <w:pPr>
        <w:pStyle w:val="Normal1"/>
        <w:rPr>
          <w:rFonts w:ascii="Calibri" w:eastAsia="Calibri" w:hAnsi="Calibri" w:cs="Calibri"/>
        </w:rPr>
      </w:pPr>
    </w:p>
    <w:p w14:paraId="59A7CC9E" w14:textId="3FF7C958" w:rsidR="004B4D95" w:rsidRDefault="0086703D">
      <w:pPr>
        <w:pStyle w:val="Normal1"/>
        <w:rPr>
          <w:rFonts w:ascii="Calibri" w:eastAsia="Calibri" w:hAnsi="Calibri" w:cs="Calibri"/>
        </w:rPr>
      </w:pPr>
      <w:r>
        <w:rPr>
          <w:rFonts w:ascii="Calibri" w:eastAsia="Calibri" w:hAnsi="Calibri" w:cs="Calibri"/>
          <w:b/>
        </w:rPr>
        <w:t>RESOLVED</w:t>
      </w:r>
      <w:r w:rsidR="00413C2B">
        <w:rPr>
          <w:rFonts w:ascii="Calibri" w:eastAsia="Calibri" w:hAnsi="Calibri" w:cs="Calibri"/>
        </w:rPr>
        <w:t xml:space="preserve">, that the </w:t>
      </w:r>
      <w:r w:rsidR="00F76EC6">
        <w:rPr>
          <w:rFonts w:ascii="Calibri" w:eastAsia="Calibri" w:hAnsi="Calibri" w:cs="Calibri"/>
        </w:rPr>
        <w:t>[Your State Academy]</w:t>
      </w:r>
      <w:r>
        <w:rPr>
          <w:rFonts w:ascii="Calibri" w:eastAsia="Calibri" w:hAnsi="Calibri" w:cs="Calibri"/>
        </w:rPr>
        <w:t xml:space="preserve"> engage in advocacy and lobbying efforts to overturn the Risk Evaluation and Mitigation Strategies (REMS) classification on mifepristone; and be it further</w:t>
      </w:r>
    </w:p>
    <w:p w14:paraId="1561BCB7" w14:textId="77777777" w:rsidR="004B4D95" w:rsidRDefault="004B4D95">
      <w:pPr>
        <w:pStyle w:val="Normal1"/>
        <w:rPr>
          <w:rFonts w:ascii="Calibri" w:eastAsia="Calibri" w:hAnsi="Calibri" w:cs="Calibri"/>
        </w:rPr>
      </w:pPr>
    </w:p>
    <w:p w14:paraId="619180DC" w14:textId="192182B8" w:rsidR="004B4D95" w:rsidRDefault="0086703D">
      <w:pPr>
        <w:pStyle w:val="Normal1"/>
        <w:rPr>
          <w:rFonts w:ascii="Calibri" w:eastAsia="Calibri" w:hAnsi="Calibri" w:cs="Calibri"/>
        </w:rPr>
      </w:pPr>
      <w:r>
        <w:rPr>
          <w:rFonts w:ascii="Calibri" w:eastAsia="Calibri" w:hAnsi="Calibri" w:cs="Calibri"/>
          <w:b/>
        </w:rPr>
        <w:t xml:space="preserve">RESOLVED, </w:t>
      </w:r>
      <w:r w:rsidR="00413C2B">
        <w:rPr>
          <w:rFonts w:ascii="Calibri" w:eastAsia="Calibri" w:hAnsi="Calibri" w:cs="Calibri"/>
        </w:rPr>
        <w:t xml:space="preserve">that the </w:t>
      </w:r>
      <w:r w:rsidR="00F76EC6">
        <w:rPr>
          <w:rFonts w:ascii="Calibri" w:eastAsia="Calibri" w:hAnsi="Calibri" w:cs="Calibri"/>
        </w:rPr>
        <w:t xml:space="preserve">[Your State Academy] </w:t>
      </w:r>
      <w:r>
        <w:rPr>
          <w:rFonts w:ascii="Calibri" w:eastAsia="Calibri" w:hAnsi="Calibri" w:cs="Calibri"/>
        </w:rPr>
        <w:t>submit a resolution to the 2018 AAFP Congress of Delegates calling on the AAFP also to endorse the principle that the Risk Evaluation and Mitigation Strategies (REMS) classification on mifepristone is not based on scientific evidence and limits access to abortion care; and be it further</w:t>
      </w:r>
    </w:p>
    <w:p w14:paraId="7049C401" w14:textId="77777777" w:rsidR="00CE14DB" w:rsidRDefault="00CE14DB">
      <w:pPr>
        <w:pStyle w:val="Normal1"/>
        <w:rPr>
          <w:rFonts w:ascii="Calibri" w:eastAsia="Calibri" w:hAnsi="Calibri" w:cs="Calibri"/>
        </w:rPr>
      </w:pPr>
    </w:p>
    <w:p w14:paraId="648ED56A" w14:textId="77777777" w:rsidR="0096334A" w:rsidRDefault="0096334A">
      <w:pPr>
        <w:pStyle w:val="Normal1"/>
        <w:rPr>
          <w:rFonts w:ascii="Calibri" w:eastAsia="Calibri" w:hAnsi="Calibri" w:cs="Calibri"/>
        </w:rPr>
      </w:pPr>
    </w:p>
    <w:p w14:paraId="569E2537" w14:textId="77777777" w:rsidR="0096334A" w:rsidRDefault="0096334A">
      <w:pPr>
        <w:pStyle w:val="Normal1"/>
        <w:rPr>
          <w:rFonts w:ascii="Calibri" w:eastAsia="Calibri" w:hAnsi="Calibri" w:cs="Calibri"/>
        </w:rPr>
      </w:pPr>
    </w:p>
    <w:p w14:paraId="38705C23" w14:textId="77777777" w:rsidR="00413C2B" w:rsidRDefault="00413C2B">
      <w:pPr>
        <w:pStyle w:val="Normal1"/>
        <w:rPr>
          <w:rFonts w:ascii="Calibri" w:eastAsia="Calibri" w:hAnsi="Calibri" w:cs="Calibri"/>
        </w:rPr>
      </w:pPr>
    </w:p>
    <w:p w14:paraId="070A5D0A" w14:textId="6A984DC0" w:rsidR="00413C2B" w:rsidRDefault="00413C2B" w:rsidP="00413C2B">
      <w:pPr>
        <w:pStyle w:val="Normal1"/>
        <w:rPr>
          <w:rFonts w:ascii="Calibri" w:eastAsia="Calibri" w:hAnsi="Calibri" w:cs="Calibri"/>
        </w:rPr>
      </w:pPr>
      <w:r>
        <w:rPr>
          <w:rFonts w:ascii="Calibri" w:eastAsia="Calibri" w:hAnsi="Calibri" w:cs="Calibri"/>
          <w:b/>
        </w:rPr>
        <w:t xml:space="preserve">RESOLVED, </w:t>
      </w:r>
      <w:r>
        <w:rPr>
          <w:rFonts w:ascii="Calibri" w:eastAsia="Calibri" w:hAnsi="Calibri" w:cs="Calibri"/>
        </w:rPr>
        <w:t xml:space="preserve">that the </w:t>
      </w:r>
      <w:r w:rsidR="00F76EC6">
        <w:rPr>
          <w:rFonts w:ascii="Calibri" w:eastAsia="Calibri" w:hAnsi="Calibri" w:cs="Calibri"/>
        </w:rPr>
        <w:t xml:space="preserve">[Your State Academy] </w:t>
      </w:r>
      <w:r>
        <w:rPr>
          <w:rFonts w:ascii="Calibri" w:eastAsia="Calibri" w:hAnsi="Calibri" w:cs="Calibri"/>
        </w:rPr>
        <w:t>codify as policy its decision to join the American Civil Liberties Union Foundation lawsuit against the U.S. Department of Health and Human Services and the U.S. Food and Drug Administration seeking to end the Risk Evaluation Mitigation Strategies (REMS) classification on mifepristone by endorsing the principle that the REMS classification on mifepristone is not based on scientific evidence and limits access to abortion care and be it further</w:t>
      </w:r>
    </w:p>
    <w:p w14:paraId="2FD17670" w14:textId="77777777" w:rsidR="00413C2B" w:rsidRDefault="00413C2B" w:rsidP="00413C2B">
      <w:pPr>
        <w:pStyle w:val="Normal1"/>
        <w:rPr>
          <w:rFonts w:ascii="Calibri" w:eastAsia="Calibri" w:hAnsi="Calibri" w:cs="Calibri"/>
        </w:rPr>
      </w:pPr>
    </w:p>
    <w:p w14:paraId="11CCEC04" w14:textId="3FBF02B2" w:rsidR="00413C2B" w:rsidRDefault="00413C2B" w:rsidP="00413C2B">
      <w:pPr>
        <w:pStyle w:val="Normal1"/>
        <w:rPr>
          <w:rFonts w:ascii="Calibri" w:eastAsia="Calibri" w:hAnsi="Calibri" w:cs="Calibri"/>
        </w:rPr>
      </w:pPr>
      <w:r>
        <w:rPr>
          <w:rFonts w:ascii="Calibri" w:eastAsia="Calibri" w:hAnsi="Calibri" w:cs="Calibri"/>
          <w:b/>
        </w:rPr>
        <w:t>RESOLVED,</w:t>
      </w:r>
      <w:r>
        <w:rPr>
          <w:rFonts w:ascii="Calibri" w:eastAsia="Calibri" w:hAnsi="Calibri" w:cs="Calibri"/>
        </w:rPr>
        <w:t xml:space="preserve"> that the </w:t>
      </w:r>
      <w:r w:rsidR="00F76EC6">
        <w:rPr>
          <w:rFonts w:ascii="Calibri" w:eastAsia="Calibri" w:hAnsi="Calibri" w:cs="Calibri"/>
        </w:rPr>
        <w:t xml:space="preserve">[Your State Academy] </w:t>
      </w:r>
      <w:bookmarkStart w:id="1" w:name="_GoBack"/>
      <w:bookmarkEnd w:id="1"/>
      <w:r>
        <w:rPr>
          <w:rFonts w:ascii="Calibri" w:eastAsia="Calibri" w:hAnsi="Calibri" w:cs="Calibri"/>
        </w:rPr>
        <w:t>submit a resolution to the 2018 AAFP Congress of Delegates calling on the AAFP to engage in advocacy and lobbying efforts to overturn the Risk Evaluation and Mitigation Strategies (REMS)  classification on mifepristone and also join the ACLU lawsuit agains</w:t>
      </w:r>
      <w:r w:rsidR="00CE14DB">
        <w:rPr>
          <w:rFonts w:ascii="Calibri" w:eastAsia="Calibri" w:hAnsi="Calibri" w:cs="Calibri"/>
        </w:rPr>
        <w:t>t</w:t>
      </w:r>
      <w:r>
        <w:rPr>
          <w:rFonts w:ascii="Calibri" w:eastAsia="Calibri" w:hAnsi="Calibri" w:cs="Calibri"/>
        </w:rPr>
        <w:t xml:space="preserve"> the FDA.</w:t>
      </w:r>
    </w:p>
    <w:p w14:paraId="11B96E66" w14:textId="77777777" w:rsidR="00413C2B" w:rsidRDefault="00413C2B" w:rsidP="00413C2B">
      <w:pPr>
        <w:pStyle w:val="Normal1"/>
        <w:rPr>
          <w:rFonts w:ascii="Calibri" w:eastAsia="Calibri" w:hAnsi="Calibri" w:cs="Calibri"/>
        </w:rPr>
      </w:pPr>
    </w:p>
    <w:p w14:paraId="498B7B6A" w14:textId="77777777" w:rsidR="00413C2B" w:rsidRDefault="00413C2B">
      <w:pPr>
        <w:pStyle w:val="Normal1"/>
        <w:rPr>
          <w:rFonts w:ascii="Calibri" w:eastAsia="Calibri" w:hAnsi="Calibri" w:cs="Calibri"/>
        </w:rPr>
      </w:pPr>
    </w:p>
    <w:p w14:paraId="697627F4" w14:textId="77777777" w:rsidR="004B4D95" w:rsidRDefault="004B4D95">
      <w:pPr>
        <w:pStyle w:val="Normal1"/>
        <w:rPr>
          <w:rFonts w:ascii="Calibri" w:eastAsia="Calibri" w:hAnsi="Calibri" w:cs="Calibri"/>
        </w:rPr>
      </w:pPr>
    </w:p>
    <w:p w14:paraId="6467A245" w14:textId="7163B70F" w:rsidR="004B4D95" w:rsidRDefault="004B4D95">
      <w:pPr>
        <w:pStyle w:val="Normal1"/>
        <w:rPr>
          <w:rFonts w:ascii="Calibri" w:eastAsia="Calibri" w:hAnsi="Calibri" w:cs="Calibri"/>
        </w:rPr>
      </w:pPr>
    </w:p>
    <w:sectPr w:rsidR="004B4D95">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E8274" w14:textId="77777777" w:rsidR="007A1682" w:rsidRDefault="007A1682">
      <w:pPr>
        <w:spacing w:line="240" w:lineRule="auto"/>
      </w:pPr>
      <w:r>
        <w:separator/>
      </w:r>
    </w:p>
  </w:endnote>
  <w:endnote w:type="continuationSeparator" w:id="0">
    <w:p w14:paraId="520964EF" w14:textId="77777777" w:rsidR="007A1682" w:rsidRDefault="007A16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panose1 w:val="02000503000000020004"/>
    <w:charset w:val="00"/>
    <w:family w:val="swiss"/>
    <w:pitch w:val="variable"/>
    <w:sig w:usb0="E50002FF" w:usb1="500079DB" w:usb2="00000010" w:usb3="00000000" w:csb0="00000001"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21D6E" w14:textId="77777777" w:rsidR="007A1682" w:rsidRDefault="007A1682">
      <w:pPr>
        <w:spacing w:line="240" w:lineRule="auto"/>
      </w:pPr>
      <w:r>
        <w:separator/>
      </w:r>
    </w:p>
  </w:footnote>
  <w:footnote w:type="continuationSeparator" w:id="0">
    <w:p w14:paraId="4B451742" w14:textId="77777777" w:rsidR="007A1682" w:rsidRDefault="007A1682">
      <w:pPr>
        <w:spacing w:line="240" w:lineRule="auto"/>
      </w:pPr>
      <w:r>
        <w:continuationSeparator/>
      </w:r>
    </w:p>
  </w:footnote>
  <w:footnote w:id="1">
    <w:p w14:paraId="39A39ED2" w14:textId="77777777" w:rsidR="00CE14DB" w:rsidRDefault="00CE14DB">
      <w:pPr>
        <w:pStyle w:val="Normal1"/>
        <w:spacing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w:t>
      </w:r>
      <w:hyperlink r:id="rId1">
        <w:r>
          <w:rPr>
            <w:rFonts w:ascii="Calibri" w:eastAsia="Calibri" w:hAnsi="Calibri" w:cs="Calibri"/>
            <w:color w:val="1155CC"/>
            <w:sz w:val="16"/>
            <w:szCs w:val="16"/>
            <w:u w:val="single"/>
          </w:rPr>
          <w:t>https://www.fda.gov/downloads/drugs/guidancecomplianceregulatoryinformation/guidances/ucm184128.pdf</w:t>
        </w:r>
      </w:hyperlink>
    </w:p>
  </w:footnote>
  <w:footnote w:id="2">
    <w:p w14:paraId="5510A146" w14:textId="77777777" w:rsidR="00CE14DB" w:rsidRDefault="00CE14DB">
      <w:pPr>
        <w:pStyle w:val="Normal1"/>
        <w:spacing w:line="240" w:lineRule="auto"/>
        <w:rPr>
          <w:rFonts w:ascii="Calibri" w:eastAsia="Calibri" w:hAnsi="Calibri" w:cs="Calibri"/>
          <w:color w:val="1155CC"/>
          <w:sz w:val="16"/>
          <w:szCs w:val="16"/>
          <w:u w:val="single"/>
        </w:rPr>
      </w:pPr>
      <w:r>
        <w:rPr>
          <w:vertAlign w:val="superscript"/>
        </w:rPr>
        <w:footnoteRef/>
      </w:r>
      <w:r>
        <w:rPr>
          <w:rFonts w:ascii="Calibri" w:eastAsia="Calibri" w:hAnsi="Calibri" w:cs="Calibri"/>
          <w:sz w:val="16"/>
          <w:szCs w:val="16"/>
        </w:rPr>
        <w:t xml:space="preserve"> </w:t>
      </w:r>
      <w:hyperlink r:id="rId2">
        <w:r>
          <w:rPr>
            <w:rFonts w:ascii="Calibri" w:eastAsia="Calibri" w:hAnsi="Calibri" w:cs="Calibri"/>
            <w:color w:val="1155CC"/>
            <w:sz w:val="16"/>
            <w:szCs w:val="16"/>
            <w:u w:val="single"/>
          </w:rPr>
          <w:t>https://www.fda.gov/downloads/Drugs/GuidanceComplianceRegulatoryInformation/Guidances/UCM521504.pdf</w:t>
        </w:r>
      </w:hyperlink>
    </w:p>
  </w:footnote>
  <w:footnote w:id="3">
    <w:p w14:paraId="7A07E31A" w14:textId="77777777" w:rsidR="00CE14DB" w:rsidRDefault="00CE14DB">
      <w:pPr>
        <w:pStyle w:val="Normal1"/>
        <w:spacing w:line="240" w:lineRule="auto"/>
        <w:rPr>
          <w:rFonts w:ascii="Calibri" w:eastAsia="Calibri" w:hAnsi="Calibri" w:cs="Calibri"/>
          <w:color w:val="1155CC"/>
          <w:sz w:val="16"/>
          <w:szCs w:val="16"/>
          <w:u w:val="single"/>
        </w:rPr>
      </w:pPr>
      <w:r>
        <w:rPr>
          <w:vertAlign w:val="superscript"/>
        </w:rPr>
        <w:footnoteRef/>
      </w:r>
      <w:r>
        <w:rPr>
          <w:rFonts w:ascii="Calibri" w:eastAsia="Calibri" w:hAnsi="Calibri" w:cs="Calibri"/>
          <w:sz w:val="16"/>
          <w:szCs w:val="16"/>
        </w:rPr>
        <w:t xml:space="preserve"> </w:t>
      </w:r>
      <w:hyperlink r:id="rId3">
        <w:r>
          <w:rPr>
            <w:rFonts w:ascii="Calibri" w:eastAsia="Calibri" w:hAnsi="Calibri" w:cs="Calibri"/>
            <w:color w:val="1155CC"/>
            <w:sz w:val="16"/>
            <w:szCs w:val="16"/>
            <w:u w:val="single"/>
          </w:rPr>
          <w:t>https://www.accessdata.fda.gov/drugsatfda_docs/label/2016/020687s020lbl.pdf</w:t>
        </w:r>
      </w:hyperlink>
    </w:p>
  </w:footnote>
  <w:footnote w:id="4">
    <w:p w14:paraId="1BA05322" w14:textId="77777777" w:rsidR="00CE14DB" w:rsidRDefault="00CE14DB">
      <w:pPr>
        <w:pStyle w:val="Normal1"/>
        <w:spacing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Greene MF, Drazen JM. A new label for mifepristone. </w:t>
      </w:r>
      <w:r>
        <w:rPr>
          <w:rFonts w:ascii="Calibri" w:eastAsia="Calibri" w:hAnsi="Calibri" w:cs="Calibri"/>
          <w:i/>
          <w:sz w:val="16"/>
          <w:szCs w:val="16"/>
        </w:rPr>
        <w:t>N Engl J Med</w:t>
      </w:r>
      <w:r>
        <w:rPr>
          <w:rFonts w:ascii="Calibri" w:eastAsia="Calibri" w:hAnsi="Calibri" w:cs="Calibri"/>
          <w:sz w:val="16"/>
          <w:szCs w:val="16"/>
        </w:rPr>
        <w:t>. 2016;374(23):2281-2282.</w:t>
      </w:r>
    </w:p>
  </w:footnote>
  <w:footnote w:id="5">
    <w:p w14:paraId="70A20E66" w14:textId="77777777" w:rsidR="00CE14DB" w:rsidRDefault="00CE14DB">
      <w:pPr>
        <w:pStyle w:val="Normal1"/>
        <w:spacing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Approved Risk Evaluation and Mitigation Strategies (REMS): Mifeprex (mifepristone). Silver Spring, MD: Food and Drug Administration, March 29, 2016. https://www.accessdata.fda.gov/scripts/cder/rems/index.cfm?event=IndvRemsDetails.page&amp;REMS=35</w:t>
      </w:r>
    </w:p>
  </w:footnote>
  <w:footnote w:id="6">
    <w:p w14:paraId="140F5119" w14:textId="77777777" w:rsidR="00CE14DB" w:rsidRDefault="00CE14DB">
      <w:pPr>
        <w:pStyle w:val="Normal1"/>
        <w:spacing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Reproductive Health Services. Leawood, KS: American Academy of Family Physicians, 2014. </w:t>
      </w:r>
    </w:p>
    <w:p w14:paraId="2AA6F13E" w14:textId="77777777" w:rsidR="00CE14DB" w:rsidRDefault="007A1682">
      <w:pPr>
        <w:pStyle w:val="Normal1"/>
        <w:spacing w:line="240" w:lineRule="auto"/>
        <w:rPr>
          <w:rFonts w:ascii="Calibri" w:eastAsia="Calibri" w:hAnsi="Calibri" w:cs="Calibri"/>
          <w:sz w:val="16"/>
          <w:szCs w:val="16"/>
        </w:rPr>
      </w:pPr>
      <w:hyperlink r:id="rId4">
        <w:r w:rsidR="00CE14DB">
          <w:rPr>
            <w:rFonts w:ascii="Calibri" w:eastAsia="Calibri" w:hAnsi="Calibri" w:cs="Calibri"/>
            <w:color w:val="0563C1"/>
            <w:sz w:val="16"/>
            <w:szCs w:val="16"/>
            <w:u w:val="single"/>
          </w:rPr>
          <w:t>http://www.aafp.org/about/policies/all/reproductivehealth-services.html</w:t>
        </w:r>
      </w:hyperlink>
    </w:p>
  </w:footnote>
  <w:footnote w:id="7">
    <w:p w14:paraId="6181A419" w14:textId="77777777" w:rsidR="00CE14DB" w:rsidRDefault="00CE14DB">
      <w:pPr>
        <w:pStyle w:val="Normal1"/>
        <w:spacing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Mifeprex REMS Study Group. Sixteen years of overregulation: time to unburden Mifeprex. </w:t>
      </w:r>
      <w:r>
        <w:rPr>
          <w:rFonts w:ascii="Calibri" w:eastAsia="Calibri" w:hAnsi="Calibri" w:cs="Calibri"/>
          <w:i/>
          <w:sz w:val="16"/>
          <w:szCs w:val="16"/>
        </w:rPr>
        <w:t xml:space="preserve">N Engl J Med. </w:t>
      </w:r>
      <w:r>
        <w:rPr>
          <w:rFonts w:ascii="Calibri" w:eastAsia="Calibri" w:hAnsi="Calibri" w:cs="Calibri"/>
          <w:sz w:val="16"/>
          <w:szCs w:val="16"/>
        </w:rPr>
        <w:t>2017;376(8):760-794.</w:t>
      </w:r>
    </w:p>
  </w:footnote>
  <w:footnote w:id="8">
    <w:p w14:paraId="45814559" w14:textId="77777777" w:rsidR="00CE14DB" w:rsidRDefault="00CE14DB">
      <w:pPr>
        <w:pStyle w:val="Normal1"/>
        <w:spacing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Hausknecht R. Mifepristone and misoprostol for early medical abortion: 18 months experience in the United States. </w:t>
      </w:r>
      <w:r>
        <w:rPr>
          <w:rFonts w:ascii="Calibri" w:eastAsia="Calibri" w:hAnsi="Calibri" w:cs="Calibri"/>
          <w:i/>
          <w:sz w:val="16"/>
          <w:szCs w:val="16"/>
        </w:rPr>
        <w:t>Contraception</w:t>
      </w:r>
      <w:r>
        <w:rPr>
          <w:rFonts w:ascii="Calibri" w:eastAsia="Calibri" w:hAnsi="Calibri" w:cs="Calibri"/>
          <w:sz w:val="16"/>
          <w:szCs w:val="16"/>
        </w:rPr>
        <w:t>. 2003;67(6):463-465.</w:t>
      </w:r>
    </w:p>
  </w:footnote>
  <w:footnote w:id="9">
    <w:p w14:paraId="0B4E4140" w14:textId="77777777" w:rsidR="00CE14DB" w:rsidRDefault="00CE14DB">
      <w:pPr>
        <w:pStyle w:val="Normal1"/>
        <w:spacing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Upadhyay UD, Desai S, Zlidar V, et al. Incidence of emergency department visits and complications after abortion. </w:t>
      </w:r>
      <w:r>
        <w:rPr>
          <w:rFonts w:ascii="Calibri" w:eastAsia="Calibri" w:hAnsi="Calibri" w:cs="Calibri"/>
          <w:i/>
          <w:sz w:val="16"/>
          <w:szCs w:val="16"/>
        </w:rPr>
        <w:t>Obstet Gynecol</w:t>
      </w:r>
      <w:r>
        <w:rPr>
          <w:rFonts w:ascii="Calibri" w:eastAsia="Calibri" w:hAnsi="Calibri" w:cs="Calibri"/>
          <w:sz w:val="16"/>
          <w:szCs w:val="16"/>
        </w:rPr>
        <w:t>. 2015;125(1):175-183.</w:t>
      </w:r>
    </w:p>
  </w:footnote>
  <w:footnote w:id="10">
    <w:p w14:paraId="5429E687" w14:textId="77777777" w:rsidR="00CE14DB" w:rsidRDefault="00CE14DB">
      <w:pPr>
        <w:pStyle w:val="Normal1"/>
        <w:spacing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w:t>
      </w:r>
      <w:r>
        <w:rPr>
          <w:rFonts w:ascii="Calibri" w:eastAsia="Calibri" w:hAnsi="Calibri" w:cs="Calibri"/>
          <w:sz w:val="16"/>
          <w:szCs w:val="16"/>
          <w:highlight w:val="white"/>
        </w:rPr>
        <w:t xml:space="preserve">Zane S, Creanga AA, Berg CJ, Pazol K, et al. Abortion-related mortality in the United States, 1998–2010. </w:t>
      </w:r>
      <w:r>
        <w:rPr>
          <w:rFonts w:ascii="Calibri" w:eastAsia="Calibri" w:hAnsi="Calibri" w:cs="Calibri"/>
          <w:i/>
          <w:sz w:val="16"/>
          <w:szCs w:val="16"/>
        </w:rPr>
        <w:t>Obstet Gynecol</w:t>
      </w:r>
      <w:r>
        <w:rPr>
          <w:rFonts w:ascii="Calibri" w:eastAsia="Calibri" w:hAnsi="Calibri" w:cs="Calibri"/>
          <w:sz w:val="16"/>
          <w:szCs w:val="16"/>
        </w:rPr>
        <w:t xml:space="preserve">. </w:t>
      </w:r>
      <w:r>
        <w:rPr>
          <w:rFonts w:ascii="Calibri" w:eastAsia="Calibri" w:hAnsi="Calibri" w:cs="Calibri"/>
          <w:sz w:val="16"/>
          <w:szCs w:val="16"/>
          <w:highlight w:val="white"/>
        </w:rPr>
        <w:t>2015;126(2):258–265</w:t>
      </w:r>
    </w:p>
  </w:footnote>
  <w:footnote w:id="11">
    <w:p w14:paraId="667D9E4F" w14:textId="77777777" w:rsidR="00CE14DB" w:rsidRDefault="00CE14DB">
      <w:pPr>
        <w:pStyle w:val="Normal1"/>
        <w:spacing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w:t>
      </w:r>
      <w:r>
        <w:rPr>
          <w:rFonts w:ascii="Calibri" w:eastAsia="Calibri" w:hAnsi="Calibri" w:cs="Calibri"/>
          <w:sz w:val="16"/>
          <w:szCs w:val="16"/>
          <w:highlight w:val="white"/>
        </w:rPr>
        <w:t xml:space="preserve">Weitz TA, Taylor D, Desai S et al. Safety of aspiration abortion performed by nurse practitioners, certified nurse midwives, and physician assistants under a California legal waiver, </w:t>
      </w:r>
      <w:r>
        <w:rPr>
          <w:rFonts w:ascii="Calibri" w:eastAsia="Calibri" w:hAnsi="Calibri" w:cs="Calibri"/>
          <w:i/>
          <w:sz w:val="16"/>
          <w:szCs w:val="16"/>
          <w:highlight w:val="white"/>
        </w:rPr>
        <w:t>Am J Public Health.</w:t>
      </w:r>
      <w:r>
        <w:rPr>
          <w:rFonts w:ascii="Calibri" w:eastAsia="Calibri" w:hAnsi="Calibri" w:cs="Calibri"/>
          <w:sz w:val="16"/>
          <w:szCs w:val="16"/>
          <w:highlight w:val="white"/>
        </w:rPr>
        <w:t xml:space="preserve"> 2013;103(3):454–461</w:t>
      </w:r>
      <w:r>
        <w:rPr>
          <w:rFonts w:ascii="Calibri" w:eastAsia="Calibri" w:hAnsi="Calibri" w:cs="Calibri"/>
          <w:sz w:val="16"/>
          <w:szCs w:val="16"/>
        </w:rPr>
        <w:t>.</w:t>
      </w:r>
    </w:p>
  </w:footnote>
  <w:footnote w:id="12">
    <w:p w14:paraId="7C2F31A9" w14:textId="77777777" w:rsidR="00CE14DB" w:rsidRDefault="00CE14DB">
      <w:pPr>
        <w:pStyle w:val="Normal1"/>
        <w:spacing w:line="240" w:lineRule="auto"/>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Sheldon WR, Winikoff B. Mifepristone label laws and trends in use: recent experiences in four US states. </w:t>
      </w:r>
      <w:r>
        <w:rPr>
          <w:rFonts w:ascii="Calibri" w:eastAsia="Calibri" w:hAnsi="Calibri" w:cs="Calibri"/>
          <w:i/>
          <w:sz w:val="16"/>
          <w:szCs w:val="16"/>
        </w:rPr>
        <w:t>Contraception.</w:t>
      </w:r>
      <w:r>
        <w:rPr>
          <w:rFonts w:ascii="Calibri" w:eastAsia="Calibri" w:hAnsi="Calibri" w:cs="Calibri"/>
          <w:sz w:val="16"/>
          <w:szCs w:val="16"/>
        </w:rPr>
        <w:t xml:space="preserve"> 2015;92(3):182-185</w:t>
      </w:r>
    </w:p>
  </w:footnote>
  <w:footnote w:id="13">
    <w:p w14:paraId="2A77707C" w14:textId="3DEAFCBC" w:rsidR="00CE14DB" w:rsidRPr="00CE14DB" w:rsidRDefault="00CE14DB">
      <w:pPr>
        <w:pStyle w:val="Normal1"/>
        <w:spacing w:line="240" w:lineRule="auto"/>
        <w:rPr>
          <w:rFonts w:ascii="Calibri" w:eastAsia="Calibri" w:hAnsi="Calibri" w:cs="Calibri"/>
          <w:sz w:val="16"/>
          <w:szCs w:val="16"/>
        </w:rPr>
      </w:pPr>
      <w:r>
        <w:rPr>
          <w:vertAlign w:val="superscript"/>
        </w:rPr>
        <w:t>1</w:t>
      </w:r>
      <w:r w:rsidR="0096334A">
        <w:rPr>
          <w:vertAlign w:val="superscript"/>
        </w:rPr>
        <w:t xml:space="preserve">3 </w:t>
      </w:r>
      <w:r w:rsidR="0086703D">
        <w:rPr>
          <w:rFonts w:ascii="Calibri" w:eastAsia="Calibri" w:hAnsi="Calibri" w:cs="Calibri"/>
          <w:sz w:val="16"/>
          <w:szCs w:val="16"/>
        </w:rPr>
        <w:t xml:space="preserve">Ostapowicz G, Fontana R, Schiodt F, et al. Results of a prospective study of acute liver failure at 17 tertiary care centers in the United States. </w:t>
      </w:r>
      <w:r w:rsidR="0086703D">
        <w:rPr>
          <w:rFonts w:ascii="Calibri" w:eastAsia="Calibri" w:hAnsi="Calibri" w:cs="Calibri"/>
          <w:i/>
          <w:sz w:val="16"/>
          <w:szCs w:val="16"/>
        </w:rPr>
        <w:t>Ann Intern Med</w:t>
      </w:r>
      <w:r w:rsidR="0086703D">
        <w:rPr>
          <w:rFonts w:ascii="Calibri" w:eastAsia="Calibri" w:hAnsi="Calibri" w:cs="Calibri"/>
          <w:sz w:val="16"/>
          <w:szCs w:val="16"/>
        </w:rPr>
        <w:t>. 2002;137(12):947-954.</w:t>
      </w:r>
    </w:p>
  </w:footnote>
  <w:footnote w:id="14">
    <w:p w14:paraId="0CF8DDA6" w14:textId="500F07D6" w:rsidR="00CE14DB" w:rsidRDefault="00CE14DB">
      <w:pPr>
        <w:pStyle w:val="Normal1"/>
        <w:spacing w:line="240" w:lineRule="auto"/>
        <w:rPr>
          <w:rFonts w:ascii="Calibri" w:eastAsia="Calibri" w:hAnsi="Calibri" w:cs="Calibri"/>
          <w:sz w:val="16"/>
          <w:szCs w:val="16"/>
        </w:rPr>
      </w:pPr>
      <w:r>
        <w:rPr>
          <w:vertAlign w:val="superscript"/>
        </w:rPr>
        <w:t>1</w:t>
      </w:r>
      <w:r w:rsidR="0096334A">
        <w:rPr>
          <w:vertAlign w:val="superscript"/>
        </w:rPr>
        <w:t xml:space="preserve">4 </w:t>
      </w:r>
      <w:r>
        <w:rPr>
          <w:rFonts w:ascii="Calibri" w:eastAsia="Calibri" w:hAnsi="Calibri" w:cs="Calibri"/>
          <w:sz w:val="16"/>
          <w:szCs w:val="16"/>
        </w:rPr>
        <w:t>McNeil Consumer &amp; Specialty Pharmaceuticals. Aspirin and other OTC NSAIDs: background information for Nonprescription Drugs Advisory Committee Meeting. September 20, 2002.</w:t>
      </w:r>
    </w:p>
  </w:footnote>
  <w:footnote w:id="15">
    <w:p w14:paraId="425BE5B2" w14:textId="53BDF33F" w:rsidR="00CE14DB" w:rsidRDefault="00CE14DB">
      <w:pPr>
        <w:pStyle w:val="Normal1"/>
        <w:spacing w:line="240" w:lineRule="auto"/>
        <w:rPr>
          <w:rFonts w:ascii="Calibri" w:eastAsia="Calibri" w:hAnsi="Calibri" w:cs="Calibri"/>
          <w:sz w:val="16"/>
          <w:szCs w:val="16"/>
        </w:rPr>
      </w:pPr>
      <w:r>
        <w:rPr>
          <w:vertAlign w:val="superscript"/>
        </w:rPr>
        <w:t>1</w:t>
      </w:r>
      <w:r w:rsidR="0096334A">
        <w:rPr>
          <w:vertAlign w:val="superscript"/>
        </w:rPr>
        <w:t>5</w:t>
      </w:r>
      <w:r>
        <w:rPr>
          <w:rFonts w:ascii="Calibri" w:eastAsia="Calibri" w:hAnsi="Calibri" w:cs="Calibri"/>
          <w:sz w:val="16"/>
          <w:szCs w:val="16"/>
        </w:rPr>
        <w:t xml:space="preserve"> US Food and Drug Administration. Executive summary on risk issues draft presented at joint meeting of the Nonprescription Drugs Advisory Committee and the Pulmonary Allergy Drugs Advisory Committee. May 11, 2001.</w:t>
      </w:r>
    </w:p>
  </w:footnote>
  <w:footnote w:id="16">
    <w:p w14:paraId="5A87C6F0" w14:textId="0C2CCE36" w:rsidR="00CE14DB" w:rsidRDefault="00CE14DB">
      <w:pPr>
        <w:pStyle w:val="Normal1"/>
        <w:spacing w:line="240" w:lineRule="auto"/>
        <w:rPr>
          <w:rFonts w:ascii="Calibri" w:eastAsia="Calibri" w:hAnsi="Calibri" w:cs="Calibri"/>
          <w:sz w:val="16"/>
          <w:szCs w:val="16"/>
        </w:rPr>
      </w:pPr>
      <w:r>
        <w:rPr>
          <w:vertAlign w:val="superscript"/>
        </w:rPr>
        <w:t>1</w:t>
      </w:r>
      <w:r w:rsidR="0096334A">
        <w:rPr>
          <w:vertAlign w:val="superscript"/>
        </w:rPr>
        <w:t>6</w:t>
      </w:r>
      <w:r>
        <w:rPr>
          <w:rFonts w:ascii="Calibri" w:eastAsia="Calibri" w:hAnsi="Calibri" w:cs="Calibri"/>
          <w:sz w:val="16"/>
          <w:szCs w:val="16"/>
        </w:rPr>
        <w:t xml:space="preserve"> Lowe G, Costabile RA. 10-year analysis of adverse event reports to the Food and Drug Administration for phosphodiesterase type-5 inhibitors. </w:t>
      </w:r>
      <w:r>
        <w:rPr>
          <w:rFonts w:ascii="Calibri" w:eastAsia="Calibri" w:hAnsi="Calibri" w:cs="Calibri"/>
          <w:i/>
          <w:sz w:val="16"/>
          <w:szCs w:val="16"/>
        </w:rPr>
        <w:t>J Sex Med</w:t>
      </w:r>
      <w:r>
        <w:rPr>
          <w:rFonts w:ascii="Calibri" w:eastAsia="Calibri" w:hAnsi="Calibri" w:cs="Calibri"/>
          <w:sz w:val="16"/>
          <w:szCs w:val="16"/>
        </w:rPr>
        <w:t>. 2012;9(1):265-270.</w:t>
      </w:r>
    </w:p>
  </w:footnote>
  <w:footnote w:id="17">
    <w:p w14:paraId="25E7C6E5" w14:textId="5B1B3D60" w:rsidR="00CE14DB" w:rsidRDefault="00CE14DB">
      <w:pPr>
        <w:pStyle w:val="Normal1"/>
        <w:spacing w:line="240" w:lineRule="auto"/>
        <w:rPr>
          <w:rFonts w:ascii="Calibri" w:eastAsia="Calibri" w:hAnsi="Calibri" w:cs="Calibri"/>
          <w:sz w:val="16"/>
          <w:szCs w:val="16"/>
        </w:rPr>
      </w:pPr>
      <w:r>
        <w:rPr>
          <w:vertAlign w:val="superscript"/>
        </w:rPr>
        <w:t>1</w:t>
      </w:r>
      <w:r w:rsidR="0096334A">
        <w:rPr>
          <w:vertAlign w:val="superscript"/>
        </w:rPr>
        <w:t>7</w:t>
      </w:r>
      <w:r>
        <w:rPr>
          <w:rFonts w:ascii="Calibri" w:eastAsia="Calibri" w:hAnsi="Calibri" w:cs="Calibri"/>
          <w:sz w:val="16"/>
          <w:szCs w:val="16"/>
        </w:rPr>
        <w:t xml:space="preserve"> Grossman DA, Grindlay K, Buchacker T, Potter JE, Schmertmann CP. Changes in service delivery patterns after introduction of telemedicine provision of medical abortion in Iowa. </w:t>
      </w:r>
      <w:r>
        <w:rPr>
          <w:rFonts w:ascii="Calibri" w:eastAsia="Calibri" w:hAnsi="Calibri" w:cs="Calibri"/>
          <w:i/>
          <w:sz w:val="16"/>
          <w:szCs w:val="16"/>
        </w:rPr>
        <w:t>Am J Public Health</w:t>
      </w:r>
      <w:r>
        <w:rPr>
          <w:rFonts w:ascii="Calibri" w:eastAsia="Calibri" w:hAnsi="Calibri" w:cs="Calibri"/>
          <w:sz w:val="16"/>
          <w:szCs w:val="16"/>
        </w:rPr>
        <w:t xml:space="preserve"> 2013;103(1):73-78.</w:t>
      </w:r>
    </w:p>
  </w:footnote>
  <w:footnote w:id="18">
    <w:p w14:paraId="47C613A3" w14:textId="012A7B51" w:rsidR="00CE14DB" w:rsidRDefault="00CE14DB">
      <w:pPr>
        <w:pStyle w:val="Normal1"/>
        <w:spacing w:line="240" w:lineRule="auto"/>
        <w:rPr>
          <w:rFonts w:ascii="Calibri" w:eastAsia="Calibri" w:hAnsi="Calibri" w:cs="Calibri"/>
          <w:sz w:val="16"/>
          <w:szCs w:val="16"/>
        </w:rPr>
      </w:pPr>
      <w:r>
        <w:rPr>
          <w:vertAlign w:val="superscript"/>
        </w:rPr>
        <w:t>1</w:t>
      </w:r>
      <w:r w:rsidR="0096334A">
        <w:rPr>
          <w:vertAlign w:val="superscript"/>
        </w:rPr>
        <w:t>8</w:t>
      </w:r>
      <w:r>
        <w:rPr>
          <w:rFonts w:ascii="Calibri" w:eastAsia="Calibri" w:hAnsi="Calibri" w:cs="Calibri"/>
          <w:sz w:val="16"/>
          <w:szCs w:val="16"/>
        </w:rPr>
        <w:t xml:space="preserve"> Dzuba IG, Grossman D, Schreiber CA. Off-label indications for mifepristone in gynecology and obstetrics. </w:t>
      </w:r>
      <w:r>
        <w:rPr>
          <w:rFonts w:ascii="Calibri" w:eastAsia="Calibri" w:hAnsi="Calibri" w:cs="Calibri"/>
          <w:i/>
          <w:sz w:val="16"/>
          <w:szCs w:val="16"/>
        </w:rPr>
        <w:t>Contraception</w:t>
      </w:r>
      <w:r>
        <w:rPr>
          <w:rFonts w:ascii="Calibri" w:eastAsia="Calibri" w:hAnsi="Calibri" w:cs="Calibri"/>
          <w:sz w:val="16"/>
          <w:szCs w:val="16"/>
        </w:rPr>
        <w:t>. 2015:92(3):203-205</w:t>
      </w:r>
    </w:p>
    <w:p w14:paraId="12F87691" w14:textId="4C89DE6B" w:rsidR="0096334A" w:rsidRPr="0096334A" w:rsidRDefault="0096334A">
      <w:pPr>
        <w:pStyle w:val="Normal1"/>
        <w:spacing w:line="240" w:lineRule="auto"/>
        <w:rPr>
          <w:rFonts w:ascii="Calibri" w:eastAsia="Calibri" w:hAnsi="Calibri" w:cs="Calibri"/>
          <w:color w:val="auto"/>
          <w:sz w:val="16"/>
          <w:szCs w:val="16"/>
        </w:rPr>
      </w:pPr>
      <w:r w:rsidRPr="0096334A">
        <w:rPr>
          <w:rFonts w:ascii="Calibri" w:eastAsia="Calibri" w:hAnsi="Calibri" w:cs="Calibri"/>
          <w:color w:val="auto"/>
          <w:sz w:val="16"/>
          <w:szCs w:val="16"/>
        </w:rPr>
        <w:t xml:space="preserve">19  </w:t>
      </w:r>
      <w:r w:rsidRPr="0096334A">
        <w:rPr>
          <w:rFonts w:asciiTheme="majorHAnsi" w:hAnsiTheme="majorHAnsi" w:cs="Helvetica Neue"/>
          <w:color w:val="auto"/>
          <w:sz w:val="16"/>
          <w:szCs w:val="16"/>
          <w:lang w:val="en-US"/>
        </w:rPr>
        <w:t>https://www.acog.org/About-ACOG/News-Room/Statements/2016/ACOG-Statement-on-Medication-Abortion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B4D95"/>
    <w:rsid w:val="00413C2B"/>
    <w:rsid w:val="004B4D95"/>
    <w:rsid w:val="007A1682"/>
    <w:rsid w:val="0086703D"/>
    <w:rsid w:val="0096334A"/>
    <w:rsid w:val="00A1264E"/>
    <w:rsid w:val="00AD4C25"/>
    <w:rsid w:val="00BF4BC6"/>
    <w:rsid w:val="00CE14DB"/>
    <w:rsid w:val="00F76EC6"/>
    <w:rsid w:val="00F92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BB6A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paragraph" w:styleId="FootnoteText">
    <w:name w:val="footnote text"/>
    <w:basedOn w:val="Normal"/>
    <w:link w:val="FootnoteTextChar"/>
    <w:uiPriority w:val="99"/>
    <w:unhideWhenUsed/>
    <w:rsid w:val="00CE14DB"/>
    <w:pPr>
      <w:spacing w:line="240" w:lineRule="auto"/>
    </w:pPr>
    <w:rPr>
      <w:sz w:val="24"/>
      <w:szCs w:val="24"/>
    </w:rPr>
  </w:style>
  <w:style w:type="character" w:customStyle="1" w:styleId="FootnoteTextChar">
    <w:name w:val="Footnote Text Char"/>
    <w:basedOn w:val="DefaultParagraphFont"/>
    <w:link w:val="FootnoteText"/>
    <w:uiPriority w:val="99"/>
    <w:rsid w:val="00CE14DB"/>
    <w:rPr>
      <w:sz w:val="24"/>
      <w:szCs w:val="24"/>
    </w:rPr>
  </w:style>
  <w:style w:type="character" w:styleId="FootnoteReference">
    <w:name w:val="footnote reference"/>
    <w:basedOn w:val="DefaultParagraphFont"/>
    <w:uiPriority w:val="99"/>
    <w:unhideWhenUsed/>
    <w:rsid w:val="00CE14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accessdata.fda.gov/drugsatfda_docs/label/2016/020687s020lbl.pdf" TargetMode="External"/><Relationship Id="rId4" Type="http://schemas.openxmlformats.org/officeDocument/2006/relationships/hyperlink" Target="http://www.aafp.org/about/policies/all/reproductivehealth-services.html" TargetMode="External"/><Relationship Id="rId1" Type="http://schemas.openxmlformats.org/officeDocument/2006/relationships/hyperlink" Target="https://www.fda.gov/downloads/drugs/guidancecomplianceregulatoryinformation/guidances/ucm184128.pdf" TargetMode="External"/><Relationship Id="rId2" Type="http://schemas.openxmlformats.org/officeDocument/2006/relationships/hyperlink" Target="https://www.fda.gov/downloads/Drugs/GuidanceComplianceRegulatoryInformation/Guidances/UCM5215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C6E53-4285-AB4F-9234-EFA1552B9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612</Words>
  <Characters>3493</Characters>
  <Application>Microsoft Macintosh Word</Application>
  <DocSecurity>0</DocSecurity>
  <Lines>29</Lines>
  <Paragraphs>8</Paragraphs>
  <ScaleCrop>false</ScaleCrop>
  <Company>RHAP</Company>
  <LinksUpToDate>false</LinksUpToDate>
  <CharactersWithSpaces>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Reproductive Health</cp:lastModifiedBy>
  <cp:revision>2</cp:revision>
  <dcterms:created xsi:type="dcterms:W3CDTF">2018-03-13T19:58:00Z</dcterms:created>
  <dcterms:modified xsi:type="dcterms:W3CDTF">2018-03-13T19:58:00Z</dcterms:modified>
</cp:coreProperties>
</file>