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5487F" w:rsidRPr="001A6DE2" w:rsidRDefault="00304A58">
      <w:pPr>
        <w:pStyle w:val="normal0"/>
        <w:jc w:val="center"/>
        <w:rPr>
          <w:rFonts w:ascii="Avenir Book" w:eastAsia="Calibri" w:hAnsi="Avenir Book" w:cs="Calibri"/>
          <w:b/>
          <w:sz w:val="24"/>
        </w:rPr>
      </w:pPr>
      <w:bookmarkStart w:id="0" w:name="_GoBack"/>
      <w:bookmarkEnd w:id="0"/>
      <w:r w:rsidRPr="001A6DE2">
        <w:rPr>
          <w:rFonts w:ascii="Avenir Book" w:eastAsia="Calibri" w:hAnsi="Avenir Book" w:cs="Calibri"/>
          <w:b/>
          <w:sz w:val="24"/>
        </w:rPr>
        <w:t>Protocol for Treatment of Ectopic Pregnancy</w:t>
      </w:r>
    </w:p>
    <w:p w14:paraId="00000002" w14:textId="77777777" w:rsidR="00C5487F" w:rsidRPr="001A6DE2" w:rsidRDefault="00C5487F">
      <w:pPr>
        <w:pStyle w:val="normal0"/>
        <w:jc w:val="center"/>
        <w:rPr>
          <w:rFonts w:ascii="Avenir Book" w:eastAsia="Calibri" w:hAnsi="Avenir Book" w:cs="Calibri"/>
        </w:rPr>
      </w:pPr>
    </w:p>
    <w:p w14:paraId="00000003"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If ectopic pregnancy has been diagnosed and the patient is clinically stable with a non-ruptured ectopic pregnancy, there are options for either medical management with methotrexate or surgical management (salpingostomy or salpingectomy) based on initial quantitative-HCG, ultrasound findings, and individual patient factors and preferences. Patients who are exhibiting signs or symptoms of ruptured ectopic pregnancy (hemodynamic instability, free fluid in the cul-de-sac on ultrasound, significant abdominal pain, or adnexal tenderness) should be emergently transferred to the care of a surgeon for immediate surgical intervention.</w:t>
      </w:r>
      <w:r w:rsidRPr="001A6DE2">
        <w:rPr>
          <w:rFonts w:ascii="Avenir Book" w:eastAsia="Calibri" w:hAnsi="Avenir Book" w:cs="Calibri"/>
          <w:vertAlign w:val="superscript"/>
        </w:rPr>
        <w:footnoteReference w:id="1"/>
      </w:r>
      <w:r w:rsidRPr="001A6DE2">
        <w:rPr>
          <w:rFonts w:ascii="Avenir Book" w:eastAsia="Calibri" w:hAnsi="Avenir Book" w:cs="Calibri"/>
        </w:rPr>
        <w:t xml:space="preserve"> </w:t>
      </w:r>
    </w:p>
    <w:p w14:paraId="00000004" w14:textId="77777777" w:rsidR="00C5487F" w:rsidRPr="001A6DE2" w:rsidRDefault="00C5487F">
      <w:pPr>
        <w:pStyle w:val="normal0"/>
        <w:rPr>
          <w:rFonts w:ascii="Avenir Book" w:eastAsia="Calibri" w:hAnsi="Avenir Book" w:cs="Calibri"/>
        </w:rPr>
      </w:pPr>
    </w:p>
    <w:p w14:paraId="00000005" w14:textId="136416D6" w:rsidR="00C5487F" w:rsidRPr="001A6DE2" w:rsidRDefault="00304A58">
      <w:pPr>
        <w:pStyle w:val="normal0"/>
        <w:rPr>
          <w:rFonts w:ascii="Avenir Book" w:eastAsia="Calibri" w:hAnsi="Avenir Book" w:cs="Calibri"/>
          <w:b/>
          <w:u w:val="single"/>
        </w:rPr>
      </w:pPr>
      <w:r>
        <w:rPr>
          <w:rFonts w:ascii="Avenir Book" w:eastAsia="Calibri" w:hAnsi="Avenir Book" w:cs="Calibri"/>
          <w:b/>
          <w:u w:val="single"/>
        </w:rPr>
        <w:t>Medical M</w:t>
      </w:r>
      <w:r w:rsidRPr="001A6DE2">
        <w:rPr>
          <w:rFonts w:ascii="Avenir Book" w:eastAsia="Calibri" w:hAnsi="Avenir Book" w:cs="Calibri"/>
          <w:b/>
          <w:u w:val="single"/>
        </w:rPr>
        <w:t>anagement</w:t>
      </w:r>
    </w:p>
    <w:p w14:paraId="00000006"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Methotrexate interrupts actively proliferating tissues, including the rapidly dividing cells of the ectopic pregnancy. This allows them to then be resorbed by the body. The success rate of methotrexate decreases with higher initial quantitative beta-HCG levels.</w:t>
      </w:r>
      <w:r w:rsidRPr="001A6DE2">
        <w:rPr>
          <w:rFonts w:ascii="Avenir Book" w:eastAsia="Calibri" w:hAnsi="Avenir Book" w:cs="Calibri"/>
          <w:vertAlign w:val="superscript"/>
        </w:rPr>
        <w:footnoteReference w:id="2"/>
      </w:r>
      <w:r w:rsidRPr="001A6DE2">
        <w:rPr>
          <w:rFonts w:ascii="Avenir Book" w:eastAsia="Calibri" w:hAnsi="Avenir Book" w:cs="Calibri"/>
        </w:rPr>
        <w:t xml:space="preserve"> </w:t>
      </w:r>
    </w:p>
    <w:p w14:paraId="00000007" w14:textId="77777777" w:rsidR="00C5487F" w:rsidRPr="001A6DE2" w:rsidRDefault="00C5487F">
      <w:pPr>
        <w:pStyle w:val="normal0"/>
        <w:rPr>
          <w:rFonts w:ascii="Avenir Book" w:eastAsia="Calibri" w:hAnsi="Avenir Book" w:cs="Calibri"/>
        </w:rPr>
      </w:pPr>
    </w:p>
    <w:p w14:paraId="00000008"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 xml:space="preserve">Contraindications to outpatient medical management </w:t>
      </w:r>
      <w:r w:rsidRPr="001A6DE2">
        <w:rPr>
          <w:rFonts w:ascii="Times New Roman" w:eastAsia="Calibri" w:hAnsi="Times New Roman" w:cs="Times New Roman"/>
        </w:rPr>
        <w:t>→</w:t>
      </w:r>
      <w:r w:rsidRPr="001A6DE2">
        <w:rPr>
          <w:rFonts w:ascii="Avenir Book" w:eastAsia="Calibri" w:hAnsi="Avenir Book" w:cs="Calibri"/>
        </w:rPr>
        <w:t xml:space="preserve"> urgent referral to surgery as below:</w:t>
      </w:r>
    </w:p>
    <w:p w14:paraId="00000009" w14:textId="77777777" w:rsidR="00C5487F" w:rsidRPr="001A6DE2" w:rsidRDefault="00304A58">
      <w:pPr>
        <w:pStyle w:val="normal0"/>
        <w:numPr>
          <w:ilvl w:val="0"/>
          <w:numId w:val="5"/>
        </w:numPr>
        <w:rPr>
          <w:rFonts w:ascii="Avenir Book" w:eastAsia="Calibri" w:hAnsi="Avenir Book" w:cs="Calibri"/>
        </w:rPr>
      </w:pPr>
      <w:r w:rsidRPr="001A6DE2">
        <w:rPr>
          <w:rFonts w:ascii="Avenir Book" w:eastAsia="Calibri" w:hAnsi="Avenir Book" w:cs="Calibri"/>
        </w:rPr>
        <w:t>Any sign of ruptured ectopic pregnancy (hemodynamic instability, free fluid in the cul-de-sac on ultrasound, significant abdominal pain, adnexal tenderness)</w:t>
      </w:r>
    </w:p>
    <w:p w14:paraId="0000000A" w14:textId="77777777" w:rsidR="00C5487F" w:rsidRPr="001A6DE2" w:rsidRDefault="00304A58">
      <w:pPr>
        <w:pStyle w:val="normal0"/>
        <w:numPr>
          <w:ilvl w:val="0"/>
          <w:numId w:val="5"/>
        </w:numPr>
        <w:rPr>
          <w:rFonts w:ascii="Avenir Book" w:eastAsia="Calibri" w:hAnsi="Avenir Book" w:cs="Calibri"/>
        </w:rPr>
      </w:pPr>
      <w:r w:rsidRPr="001A6DE2">
        <w:rPr>
          <w:rFonts w:ascii="Avenir Book" w:eastAsia="Calibri" w:hAnsi="Avenir Book" w:cs="Calibri"/>
        </w:rPr>
        <w:t xml:space="preserve">Visible ectopic pregnancy </w:t>
      </w:r>
      <w:r w:rsidRPr="001A6DE2">
        <w:rPr>
          <w:rFonts w:ascii="Avenir Book" w:eastAsia="Calibri" w:hAnsi="Avenir Book" w:cs="Calibri"/>
          <w:b/>
        </w:rPr>
        <w:t>with</w:t>
      </w:r>
      <w:r w:rsidRPr="001A6DE2">
        <w:rPr>
          <w:rFonts w:ascii="Avenir Book" w:eastAsia="Calibri" w:hAnsi="Avenir Book" w:cs="Calibri"/>
        </w:rPr>
        <w:t xml:space="preserve"> fetal cardiac activity on ultrasound</w:t>
      </w:r>
    </w:p>
    <w:p w14:paraId="0000000B" w14:textId="77777777" w:rsidR="00C5487F" w:rsidRPr="001A6DE2" w:rsidRDefault="00304A58">
      <w:pPr>
        <w:pStyle w:val="normal0"/>
        <w:numPr>
          <w:ilvl w:val="0"/>
          <w:numId w:val="5"/>
        </w:numPr>
        <w:rPr>
          <w:rFonts w:ascii="Avenir Book" w:eastAsia="Calibri" w:hAnsi="Avenir Book" w:cs="Calibri"/>
        </w:rPr>
      </w:pPr>
      <w:r w:rsidRPr="001A6DE2">
        <w:rPr>
          <w:rFonts w:ascii="Avenir Book" w:eastAsia="Calibri" w:hAnsi="Avenir Book" w:cs="Calibri"/>
        </w:rPr>
        <w:t>Medical conditions including liver disease or alcoholism, moderate-to-severe anemia/leukopenia/thrombocytopenia, immunodeficiency, breastfeeding, active peptic ulcer disease, pulmonary disease, renal insufficiency</w:t>
      </w:r>
    </w:p>
    <w:p w14:paraId="0000000C" w14:textId="77777777" w:rsidR="00C5487F" w:rsidRPr="001A6DE2" w:rsidRDefault="00304A58">
      <w:pPr>
        <w:pStyle w:val="normal0"/>
        <w:numPr>
          <w:ilvl w:val="0"/>
          <w:numId w:val="5"/>
        </w:numPr>
        <w:rPr>
          <w:rFonts w:ascii="Avenir Book" w:eastAsia="Calibri" w:hAnsi="Avenir Book" w:cs="Calibri"/>
        </w:rPr>
      </w:pPr>
      <w:r w:rsidRPr="001A6DE2">
        <w:rPr>
          <w:rFonts w:ascii="Avenir Book" w:eastAsia="Calibri" w:hAnsi="Avenir Book" w:cs="Calibri"/>
        </w:rPr>
        <w:t>Initial quantitative beta-HCG &gt;10,000</w:t>
      </w:r>
    </w:p>
    <w:p w14:paraId="0000000D" w14:textId="77777777" w:rsidR="00C5487F" w:rsidRPr="001A6DE2" w:rsidRDefault="00304A58">
      <w:pPr>
        <w:pStyle w:val="normal0"/>
        <w:numPr>
          <w:ilvl w:val="0"/>
          <w:numId w:val="5"/>
        </w:numPr>
        <w:rPr>
          <w:rFonts w:ascii="Avenir Book" w:eastAsia="Calibri" w:hAnsi="Avenir Book" w:cs="Calibri"/>
        </w:rPr>
      </w:pPr>
      <w:r w:rsidRPr="001A6DE2">
        <w:rPr>
          <w:rFonts w:ascii="Avenir Book" w:eastAsia="Calibri" w:hAnsi="Avenir Book" w:cs="Calibri"/>
        </w:rPr>
        <w:t>Inability to establish close cell phone communication and follow up</w:t>
      </w:r>
    </w:p>
    <w:p w14:paraId="0000000E" w14:textId="77777777" w:rsidR="00C5487F" w:rsidRPr="001A6DE2" w:rsidRDefault="00C5487F">
      <w:pPr>
        <w:pStyle w:val="normal0"/>
        <w:ind w:left="720"/>
        <w:rPr>
          <w:rFonts w:ascii="Avenir Book" w:eastAsia="Calibri" w:hAnsi="Avenir Book" w:cs="Calibri"/>
        </w:rPr>
      </w:pPr>
    </w:p>
    <w:p w14:paraId="0000000F"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 xml:space="preserve">Importantly, patients should be counseled that risk of ruptured ectopic pregnancy persists until beta-HCG levels are undetectable and should be given strict ectopic precautions. </w:t>
      </w:r>
    </w:p>
    <w:p w14:paraId="00000010" w14:textId="77777777" w:rsidR="00C5487F" w:rsidRPr="001A6DE2" w:rsidRDefault="00C5487F">
      <w:pPr>
        <w:pStyle w:val="normal0"/>
        <w:rPr>
          <w:rFonts w:ascii="Avenir Book" w:eastAsia="Calibri" w:hAnsi="Avenir Book" w:cs="Calibri"/>
        </w:rPr>
      </w:pPr>
    </w:p>
    <w:p w14:paraId="00000011"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Side effects of methotrexate include: abdominal pain 2-3 days after administration (can be managed expectantly as long as no signs of ruptured ectopic pregnancy), other gastrointestinal symptoms (nausea, vomiting), vaginal spotting, alopecia, and neutropenia.</w:t>
      </w:r>
      <w:r w:rsidRPr="001A6DE2">
        <w:rPr>
          <w:rFonts w:ascii="Avenir Book" w:eastAsia="Calibri" w:hAnsi="Avenir Book" w:cs="Calibri"/>
          <w:vertAlign w:val="superscript"/>
        </w:rPr>
        <w:footnoteReference w:id="3"/>
      </w:r>
    </w:p>
    <w:p w14:paraId="00000012" w14:textId="77777777" w:rsidR="00C5487F" w:rsidRPr="001A6DE2" w:rsidRDefault="00C5487F">
      <w:pPr>
        <w:pStyle w:val="normal0"/>
        <w:rPr>
          <w:rFonts w:ascii="Avenir Book" w:eastAsia="Calibri" w:hAnsi="Avenir Book" w:cs="Calibri"/>
        </w:rPr>
      </w:pPr>
    </w:p>
    <w:p w14:paraId="00000013" w14:textId="7D5CD902" w:rsidR="00C5487F" w:rsidRPr="001A6DE2" w:rsidRDefault="00CC26D7">
      <w:pPr>
        <w:pStyle w:val="normal0"/>
        <w:rPr>
          <w:rFonts w:ascii="Avenir Book" w:eastAsia="Calibri" w:hAnsi="Avenir Book" w:cs="Calibri"/>
          <w:u w:val="single"/>
        </w:rPr>
      </w:pPr>
      <w:r>
        <w:rPr>
          <w:rFonts w:ascii="Avenir Book" w:eastAsia="Calibri" w:hAnsi="Avenir Book" w:cs="Calibri"/>
          <w:u w:val="single"/>
        </w:rPr>
        <w:t>One-Dose Treatment Protocol and Follow U</w:t>
      </w:r>
      <w:r w:rsidR="00304A58" w:rsidRPr="001A6DE2">
        <w:rPr>
          <w:rFonts w:ascii="Avenir Book" w:eastAsia="Calibri" w:hAnsi="Avenir Book" w:cs="Calibri"/>
          <w:u w:val="single"/>
        </w:rPr>
        <w:t>p:</w:t>
      </w:r>
    </w:p>
    <w:p w14:paraId="00000014"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 xml:space="preserve">This carries the lowest risk of adverse effects however is less efficacious than the two-dose protocol in patients with higher initial quantitative beta-HCG levels. </w:t>
      </w:r>
    </w:p>
    <w:p w14:paraId="00000015"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Day 1:</w:t>
      </w:r>
    </w:p>
    <w:p w14:paraId="00000016"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Ensure reliable cell phone access and provide patient with 24/7 emergency number to call.</w:t>
      </w:r>
    </w:p>
    <w:p w14:paraId="00000017"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Obtain baseline CBC, BMP, LFTs, blood type, and quantitative beta-HCG.</w:t>
      </w:r>
    </w:p>
    <w:p w14:paraId="00000018"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Administer single dose of methotrexate 50mg/m</w:t>
      </w:r>
      <w:r w:rsidRPr="001A6DE2">
        <w:rPr>
          <w:rFonts w:ascii="Avenir Book" w:eastAsia="Calibri" w:hAnsi="Avenir Book" w:cs="Calibri"/>
          <w:vertAlign w:val="superscript"/>
        </w:rPr>
        <w:t>2</w:t>
      </w:r>
      <w:r w:rsidRPr="001A6DE2">
        <w:rPr>
          <w:rFonts w:ascii="Avenir Book" w:eastAsia="Calibri" w:hAnsi="Avenir Book" w:cs="Calibri"/>
        </w:rPr>
        <w:t xml:space="preserve"> intramuscularly (m</w:t>
      </w:r>
      <w:r w:rsidRPr="001A6DE2">
        <w:rPr>
          <w:rFonts w:ascii="Avenir Book" w:eastAsia="Calibri" w:hAnsi="Avenir Book" w:cs="Calibri"/>
          <w:vertAlign w:val="superscript"/>
        </w:rPr>
        <w:t>2</w:t>
      </w:r>
      <w:r w:rsidRPr="001A6DE2">
        <w:rPr>
          <w:rFonts w:ascii="Avenir Book" w:eastAsia="Calibri" w:hAnsi="Avenir Book" w:cs="Calibri"/>
        </w:rPr>
        <w:t xml:space="preserve"> is also known as the body surface area (BSA): it can be calculated in many EHRs using a smartphrase or using this </w:t>
      </w:r>
      <w:hyperlink r:id="rId8">
        <w:r w:rsidRPr="001A6DE2">
          <w:rPr>
            <w:rFonts w:ascii="Avenir Book" w:eastAsia="Calibri" w:hAnsi="Avenir Book" w:cs="Calibri"/>
            <w:color w:val="1155CC"/>
            <w:u w:val="single"/>
          </w:rPr>
          <w:t>BSA calculator</w:t>
        </w:r>
      </w:hyperlink>
      <w:r w:rsidRPr="001A6DE2">
        <w:rPr>
          <w:rFonts w:ascii="Avenir Book" w:eastAsia="Calibri" w:hAnsi="Avenir Book" w:cs="Calibri"/>
        </w:rPr>
        <w:t>)</w:t>
      </w:r>
    </w:p>
    <w:p w14:paraId="00000019"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Day 4:</w:t>
      </w:r>
    </w:p>
    <w:p w14:paraId="0000001A" w14:textId="77777777" w:rsidR="00C5487F" w:rsidRPr="001A6DE2" w:rsidRDefault="00304A58">
      <w:pPr>
        <w:pStyle w:val="normal0"/>
        <w:numPr>
          <w:ilvl w:val="0"/>
          <w:numId w:val="2"/>
        </w:numPr>
        <w:rPr>
          <w:rFonts w:ascii="Avenir Book" w:eastAsia="Calibri" w:hAnsi="Avenir Book" w:cs="Calibri"/>
        </w:rPr>
      </w:pPr>
      <w:r w:rsidRPr="001A6DE2">
        <w:rPr>
          <w:rFonts w:ascii="Avenir Book" w:eastAsia="Calibri" w:hAnsi="Avenir Book" w:cs="Calibri"/>
        </w:rPr>
        <w:t>Measure quantitative beta-HCG level (it is common to see an increase from day 1 levels and does not represent treatment failure)</w:t>
      </w:r>
    </w:p>
    <w:p w14:paraId="0000001B"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Day 7:</w:t>
      </w:r>
    </w:p>
    <w:p w14:paraId="0000001C" w14:textId="77777777" w:rsidR="00C5487F" w:rsidRPr="001A6DE2" w:rsidRDefault="00304A58">
      <w:pPr>
        <w:pStyle w:val="normal0"/>
        <w:numPr>
          <w:ilvl w:val="0"/>
          <w:numId w:val="1"/>
        </w:numPr>
        <w:rPr>
          <w:rFonts w:ascii="Avenir Book" w:eastAsia="Calibri" w:hAnsi="Avenir Book" w:cs="Calibri"/>
        </w:rPr>
      </w:pPr>
      <w:r w:rsidRPr="001A6DE2">
        <w:rPr>
          <w:rFonts w:ascii="Avenir Book" w:eastAsia="Calibri" w:hAnsi="Avenir Book" w:cs="Calibri"/>
        </w:rPr>
        <w:t>Measure quantitative beta-HCG level and compare level to day 4 level:</w:t>
      </w:r>
    </w:p>
    <w:p w14:paraId="0000001D" w14:textId="77777777" w:rsidR="00C5487F" w:rsidRPr="001A6DE2" w:rsidRDefault="00304A58">
      <w:pPr>
        <w:pStyle w:val="normal0"/>
        <w:numPr>
          <w:ilvl w:val="1"/>
          <w:numId w:val="1"/>
        </w:numPr>
        <w:rPr>
          <w:rFonts w:ascii="Avenir Book" w:eastAsia="Calibri" w:hAnsi="Avenir Book" w:cs="Calibri"/>
        </w:rPr>
      </w:pPr>
      <w:r w:rsidRPr="001A6DE2">
        <w:rPr>
          <w:rFonts w:ascii="Avenir Book" w:eastAsia="Calibri" w:hAnsi="Avenir Book" w:cs="Calibri"/>
        </w:rPr>
        <w:t>If decrease from day 4 to day 7 is &lt; 15%: readminister methotrexate 50mg/m</w:t>
      </w:r>
      <w:r w:rsidRPr="001A6DE2">
        <w:rPr>
          <w:rFonts w:ascii="Avenir Book" w:eastAsia="Calibri" w:hAnsi="Avenir Book" w:cs="Calibri"/>
          <w:vertAlign w:val="superscript"/>
        </w:rPr>
        <w:t>2</w:t>
      </w:r>
    </w:p>
    <w:p w14:paraId="0000001E" w14:textId="77777777" w:rsidR="00C5487F" w:rsidRPr="001A6DE2" w:rsidRDefault="00304A58">
      <w:pPr>
        <w:pStyle w:val="normal0"/>
        <w:numPr>
          <w:ilvl w:val="1"/>
          <w:numId w:val="1"/>
        </w:numPr>
        <w:rPr>
          <w:rFonts w:ascii="Avenir Book" w:eastAsia="Calibri" w:hAnsi="Avenir Book" w:cs="Calibri"/>
        </w:rPr>
      </w:pPr>
      <w:r w:rsidRPr="001A6DE2">
        <w:rPr>
          <w:rFonts w:ascii="Avenir Book" w:eastAsia="Calibri" w:hAnsi="Avenir Book" w:cs="Calibri"/>
        </w:rPr>
        <w:t>If decrease from day 4 to day 7 is &gt; 15%, measure quantitative beta-HCG levels weekly until they are undetectable OR once HCG &lt;50 can consider having a phone check-in in 1 week with continued ectopic precautions and home urine pregnancy test in 2 weeks. If negative home urine pregnancy test at that time, no need for further follow-up.</w:t>
      </w:r>
    </w:p>
    <w:p w14:paraId="0000001F"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If quantitative beta-HCG does not decrease after four doses, consider surgical management.</w:t>
      </w:r>
    </w:p>
    <w:p w14:paraId="00000020" w14:textId="77777777" w:rsidR="00C5487F" w:rsidRPr="001A6DE2" w:rsidRDefault="00C5487F">
      <w:pPr>
        <w:pStyle w:val="normal0"/>
        <w:rPr>
          <w:rFonts w:ascii="Avenir Book" w:eastAsia="Calibri" w:hAnsi="Avenir Book" w:cs="Calibri"/>
        </w:rPr>
      </w:pPr>
    </w:p>
    <w:p w14:paraId="00000021" w14:textId="77E57710" w:rsidR="00C5487F" w:rsidRPr="001A6DE2" w:rsidRDefault="00CC26D7">
      <w:pPr>
        <w:pStyle w:val="normal0"/>
        <w:rPr>
          <w:rFonts w:ascii="Avenir Book" w:eastAsia="Calibri" w:hAnsi="Avenir Book" w:cs="Calibri"/>
          <w:u w:val="single"/>
        </w:rPr>
      </w:pPr>
      <w:r>
        <w:rPr>
          <w:rFonts w:ascii="Avenir Book" w:eastAsia="Calibri" w:hAnsi="Avenir Book" w:cs="Calibri"/>
          <w:u w:val="single"/>
        </w:rPr>
        <w:t>Two Dose Treatment Protocol and Follow U</w:t>
      </w:r>
      <w:r w:rsidR="00304A58" w:rsidRPr="001A6DE2">
        <w:rPr>
          <w:rFonts w:ascii="Avenir Book" w:eastAsia="Calibri" w:hAnsi="Avenir Book" w:cs="Calibri"/>
          <w:u w:val="single"/>
        </w:rPr>
        <w:t>p</w:t>
      </w:r>
    </w:p>
    <w:p w14:paraId="00000022"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 xml:space="preserve">Consider two-dose methotrexate regimen for patients with an initial high quantitative beta-HCG level (i.e. over 5000). Resolution of HCG levels is significantly faster in patients treated with two-dose MTX compared with one-dose. </w:t>
      </w:r>
    </w:p>
    <w:p w14:paraId="00000023"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Day 1:</w:t>
      </w:r>
    </w:p>
    <w:p w14:paraId="00000024"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Ensure reliable cell phone access and provide patient with 24/7 emergency number to call.</w:t>
      </w:r>
    </w:p>
    <w:p w14:paraId="00000025"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Obtain baseline CBC, BMP, LFTs, blood type, and quantitative beta-HCG.</w:t>
      </w:r>
    </w:p>
    <w:p w14:paraId="00000026" w14:textId="77777777" w:rsidR="00C5487F" w:rsidRPr="001A6DE2" w:rsidRDefault="00304A58">
      <w:pPr>
        <w:pStyle w:val="normal0"/>
        <w:numPr>
          <w:ilvl w:val="0"/>
          <w:numId w:val="6"/>
        </w:numPr>
        <w:rPr>
          <w:rFonts w:ascii="Avenir Book" w:eastAsia="Calibri" w:hAnsi="Avenir Book" w:cs="Calibri"/>
        </w:rPr>
      </w:pPr>
      <w:r w:rsidRPr="001A6DE2">
        <w:rPr>
          <w:rFonts w:ascii="Avenir Book" w:eastAsia="Calibri" w:hAnsi="Avenir Book" w:cs="Calibri"/>
        </w:rPr>
        <w:t>Administer dose of methotrexate 50mg/m</w:t>
      </w:r>
      <w:r w:rsidRPr="001A6DE2">
        <w:rPr>
          <w:rFonts w:ascii="Avenir Book" w:eastAsia="Calibri" w:hAnsi="Avenir Book" w:cs="Calibri"/>
          <w:vertAlign w:val="superscript"/>
        </w:rPr>
        <w:t>2</w:t>
      </w:r>
      <w:r w:rsidRPr="001A6DE2">
        <w:rPr>
          <w:rFonts w:ascii="Avenir Book" w:eastAsia="Calibri" w:hAnsi="Avenir Book" w:cs="Calibri"/>
        </w:rPr>
        <w:t xml:space="preserve"> (m</w:t>
      </w:r>
      <w:r w:rsidRPr="001A6DE2">
        <w:rPr>
          <w:rFonts w:ascii="Avenir Book" w:eastAsia="Calibri" w:hAnsi="Avenir Book" w:cs="Calibri"/>
          <w:vertAlign w:val="superscript"/>
        </w:rPr>
        <w:t>2</w:t>
      </w:r>
      <w:r w:rsidRPr="001A6DE2">
        <w:rPr>
          <w:rFonts w:ascii="Avenir Book" w:eastAsia="Calibri" w:hAnsi="Avenir Book" w:cs="Calibri"/>
        </w:rPr>
        <w:t xml:space="preserve"> is also known as the body surface area (BSA): it can be calculated in many ESRs using a smartphrase or using this </w:t>
      </w:r>
      <w:hyperlink r:id="rId9">
        <w:r w:rsidRPr="001A6DE2">
          <w:rPr>
            <w:rFonts w:ascii="Avenir Book" w:eastAsia="Calibri" w:hAnsi="Avenir Book" w:cs="Calibri"/>
            <w:color w:val="1155CC"/>
            <w:u w:val="single"/>
          </w:rPr>
          <w:t>BSA calculator</w:t>
        </w:r>
      </w:hyperlink>
      <w:r w:rsidRPr="001A6DE2">
        <w:rPr>
          <w:rFonts w:ascii="Avenir Book" w:eastAsia="Calibri" w:hAnsi="Avenir Book" w:cs="Calibri"/>
        </w:rPr>
        <w:t>)</w:t>
      </w:r>
    </w:p>
    <w:p w14:paraId="00000027"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 xml:space="preserve">Day 4: </w:t>
      </w:r>
    </w:p>
    <w:p w14:paraId="00000028" w14:textId="77777777" w:rsidR="00C5487F" w:rsidRPr="001A6DE2" w:rsidRDefault="00304A58">
      <w:pPr>
        <w:pStyle w:val="normal0"/>
        <w:numPr>
          <w:ilvl w:val="0"/>
          <w:numId w:val="3"/>
        </w:numPr>
        <w:rPr>
          <w:rFonts w:ascii="Avenir Book" w:eastAsia="Calibri" w:hAnsi="Avenir Book" w:cs="Calibri"/>
        </w:rPr>
      </w:pPr>
      <w:r w:rsidRPr="001A6DE2">
        <w:rPr>
          <w:rFonts w:ascii="Avenir Book" w:eastAsia="Calibri" w:hAnsi="Avenir Book" w:cs="Calibri"/>
        </w:rPr>
        <w:t>Administer second dose of methotrexate 50mg/m</w:t>
      </w:r>
      <w:r w:rsidRPr="001A6DE2">
        <w:rPr>
          <w:rFonts w:ascii="Avenir Book" w:eastAsia="Calibri" w:hAnsi="Avenir Book" w:cs="Calibri"/>
          <w:vertAlign w:val="superscript"/>
        </w:rPr>
        <w:t>2</w:t>
      </w:r>
      <w:r w:rsidRPr="001A6DE2">
        <w:rPr>
          <w:rFonts w:ascii="Avenir Book" w:eastAsia="Calibri" w:hAnsi="Avenir Book" w:cs="Calibri"/>
        </w:rPr>
        <w:t>.</w:t>
      </w:r>
    </w:p>
    <w:p w14:paraId="00000029" w14:textId="77777777" w:rsidR="00C5487F" w:rsidRPr="001A6DE2" w:rsidRDefault="00304A58">
      <w:pPr>
        <w:pStyle w:val="normal0"/>
        <w:numPr>
          <w:ilvl w:val="0"/>
          <w:numId w:val="3"/>
        </w:numPr>
        <w:rPr>
          <w:rFonts w:ascii="Avenir Book" w:eastAsia="Calibri" w:hAnsi="Avenir Book" w:cs="Calibri"/>
        </w:rPr>
      </w:pPr>
      <w:r w:rsidRPr="001A6DE2">
        <w:rPr>
          <w:rFonts w:ascii="Avenir Book" w:eastAsia="Calibri" w:hAnsi="Avenir Book" w:cs="Calibri"/>
        </w:rPr>
        <w:lastRenderedPageBreak/>
        <w:t>Measure quantitative-HCG level post-administration of methotrexate.</w:t>
      </w:r>
    </w:p>
    <w:p w14:paraId="0000002A"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Day 7:</w:t>
      </w:r>
    </w:p>
    <w:p w14:paraId="0000002B" w14:textId="77777777" w:rsidR="00C5487F" w:rsidRPr="001A6DE2" w:rsidRDefault="00304A58">
      <w:pPr>
        <w:pStyle w:val="normal0"/>
        <w:numPr>
          <w:ilvl w:val="0"/>
          <w:numId w:val="4"/>
        </w:numPr>
        <w:rPr>
          <w:rFonts w:ascii="Avenir Book" w:eastAsia="Calibri" w:hAnsi="Avenir Book" w:cs="Calibri"/>
        </w:rPr>
      </w:pPr>
      <w:r w:rsidRPr="001A6DE2">
        <w:rPr>
          <w:rFonts w:ascii="Avenir Book" w:eastAsia="Calibri" w:hAnsi="Avenir Book" w:cs="Calibri"/>
        </w:rPr>
        <w:t>Measure quantitative-HCG level and compare level to Day 4 level:</w:t>
      </w:r>
    </w:p>
    <w:p w14:paraId="0000002C" w14:textId="77777777" w:rsidR="00C5487F" w:rsidRPr="001A6DE2" w:rsidRDefault="00304A58">
      <w:pPr>
        <w:pStyle w:val="normal0"/>
        <w:numPr>
          <w:ilvl w:val="1"/>
          <w:numId w:val="4"/>
        </w:numPr>
        <w:rPr>
          <w:rFonts w:ascii="Avenir Book" w:eastAsia="Calibri" w:hAnsi="Avenir Book" w:cs="Calibri"/>
        </w:rPr>
      </w:pPr>
      <w:r w:rsidRPr="001A6DE2">
        <w:rPr>
          <w:rFonts w:ascii="Avenir Book" w:eastAsia="Calibri" w:hAnsi="Avenir Book" w:cs="Calibri"/>
        </w:rPr>
        <w:t>If decrease from day 4 to day 7 is &lt; 15%: readminister methotrexate 50mg/m</w:t>
      </w:r>
      <w:r w:rsidRPr="001A6DE2">
        <w:rPr>
          <w:rFonts w:ascii="Avenir Book" w:eastAsia="Calibri" w:hAnsi="Avenir Book" w:cs="Calibri"/>
          <w:vertAlign w:val="superscript"/>
        </w:rPr>
        <w:t>2</w:t>
      </w:r>
      <w:r w:rsidRPr="001A6DE2">
        <w:rPr>
          <w:rFonts w:ascii="Avenir Book" w:eastAsia="Calibri" w:hAnsi="Avenir Book" w:cs="Calibri"/>
        </w:rPr>
        <w:t xml:space="preserve"> and recheck quantitative-HCG levels on day 11.</w:t>
      </w:r>
    </w:p>
    <w:p w14:paraId="0000002D" w14:textId="77777777" w:rsidR="00C5487F" w:rsidRPr="001A6DE2" w:rsidRDefault="00304A58">
      <w:pPr>
        <w:pStyle w:val="normal0"/>
        <w:numPr>
          <w:ilvl w:val="1"/>
          <w:numId w:val="4"/>
        </w:numPr>
        <w:rPr>
          <w:rFonts w:ascii="Avenir Book" w:eastAsia="Calibri" w:hAnsi="Avenir Book" w:cs="Calibri"/>
        </w:rPr>
      </w:pPr>
      <w:r w:rsidRPr="001A6DE2">
        <w:rPr>
          <w:rFonts w:ascii="Avenir Book" w:eastAsia="Calibri" w:hAnsi="Avenir Book" w:cs="Calibri"/>
        </w:rPr>
        <w:t>If decrease from day 4 to day 7 is &gt; 15%: measure HCG weekly until undetectable OR once HCG &lt;50 can consider having a phone check-in in 1 week with continued ectopic precautions and home urine pregnancy test in 2 weeks. If negative home urine pregnancy test at that time, no need for further follow-up.</w:t>
      </w:r>
    </w:p>
    <w:p w14:paraId="0000002E"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If quantitative beta-HCG does not decrease after four doses, consider surgical management.</w:t>
      </w:r>
    </w:p>
    <w:p w14:paraId="0000002F" w14:textId="77777777" w:rsidR="00C5487F" w:rsidRPr="001A6DE2" w:rsidRDefault="00C5487F">
      <w:pPr>
        <w:pStyle w:val="normal0"/>
        <w:rPr>
          <w:rFonts w:ascii="Avenir Book" w:eastAsia="Calibri" w:hAnsi="Avenir Book" w:cs="Calibri"/>
        </w:rPr>
      </w:pPr>
    </w:p>
    <w:p w14:paraId="00000030" w14:textId="0E02A5E0" w:rsidR="00C5487F" w:rsidRPr="001A6DE2" w:rsidRDefault="00CC26D7">
      <w:pPr>
        <w:pStyle w:val="normal0"/>
        <w:rPr>
          <w:rFonts w:ascii="Avenir Book" w:eastAsia="Calibri" w:hAnsi="Avenir Book" w:cs="Calibri"/>
        </w:rPr>
      </w:pPr>
      <w:r>
        <w:rPr>
          <w:rFonts w:ascii="Avenir Book" w:eastAsia="Calibri" w:hAnsi="Avenir Book" w:cs="Calibri"/>
          <w:u w:val="single"/>
        </w:rPr>
        <w:t>Surgical M</w:t>
      </w:r>
      <w:r w:rsidR="00304A58" w:rsidRPr="001A6DE2">
        <w:rPr>
          <w:rFonts w:ascii="Avenir Book" w:eastAsia="Calibri" w:hAnsi="Avenir Book" w:cs="Calibri"/>
          <w:u w:val="single"/>
        </w:rPr>
        <w:t>anagement</w:t>
      </w:r>
    </w:p>
    <w:p w14:paraId="00000031" w14:textId="77777777" w:rsidR="00C5487F" w:rsidRPr="001A6DE2" w:rsidRDefault="00304A58">
      <w:pPr>
        <w:pStyle w:val="normal0"/>
        <w:rPr>
          <w:rFonts w:ascii="Avenir Book" w:eastAsia="Calibri" w:hAnsi="Avenir Book" w:cs="Calibri"/>
        </w:rPr>
      </w:pPr>
      <w:r w:rsidRPr="001A6DE2">
        <w:rPr>
          <w:rFonts w:ascii="Avenir Book" w:eastAsia="Calibri" w:hAnsi="Avenir Book" w:cs="Calibri"/>
        </w:rPr>
        <w:t>Indicated if any of the conditions mentioned under contraindications for medical management exist. Process of referral to surgery may vary by health system and this system should be worked out prior to offering treatment for ectopic pregnancy in the office. A system for tracking the patients to assure that there is one clinician prepared to call with follow up results and reminders is also important.</w:t>
      </w:r>
    </w:p>
    <w:sectPr w:rsidR="00C5487F" w:rsidRPr="001A6DE2">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5265C" w14:textId="77777777" w:rsidR="00304A58" w:rsidRDefault="00304A58">
      <w:pPr>
        <w:spacing w:line="240" w:lineRule="auto"/>
      </w:pPr>
      <w:r>
        <w:separator/>
      </w:r>
    </w:p>
  </w:endnote>
  <w:endnote w:type="continuationSeparator" w:id="0">
    <w:p w14:paraId="3D9F30AC" w14:textId="77777777" w:rsidR="00304A58" w:rsidRDefault="00304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40656" w14:textId="2D874B80" w:rsidR="00304A58" w:rsidRPr="000865E3" w:rsidRDefault="00304A58" w:rsidP="001A6DE2">
    <w:pPr>
      <w:pStyle w:val="Footer"/>
      <w:rPr>
        <w:rFonts w:ascii="Avenir Book" w:hAnsi="Avenir Book"/>
      </w:rPr>
    </w:pPr>
    <w:r>
      <w:rPr>
        <w:rFonts w:ascii="Avenir Book" w:hAnsi="Avenir Book"/>
        <w:noProof/>
        <w:lang w:val="en-US"/>
      </w:rPr>
      <w:drawing>
        <wp:anchor distT="0" distB="0" distL="114300" distR="114300" simplePos="0" relativeHeight="251659264" behindDoc="1" locked="0" layoutInCell="1" allowOverlap="1" wp14:anchorId="2CA6E09F" wp14:editId="524A83B0">
          <wp:simplePos x="0" y="0"/>
          <wp:positionH relativeFrom="column">
            <wp:posOffset>5372100</wp:posOffset>
          </wp:positionH>
          <wp:positionV relativeFrom="paragraph">
            <wp:posOffset>-106045</wp:posOffset>
          </wp:positionV>
          <wp:extent cx="914400" cy="450850"/>
          <wp:effectExtent l="0" t="0" r="0" b="6350"/>
          <wp:wrapThrough wrapText="bothSides">
            <wp:wrapPolygon edited="0">
              <wp:start x="0" y="0"/>
              <wp:lineTo x="0" y="20687"/>
              <wp:lineTo x="21000" y="20687"/>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0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Book" w:hAnsi="Avenir Book"/>
        <w:noProof/>
      </w:rPr>
      <w:t>April 2020</w:t>
    </w:r>
    <w:r w:rsidRPr="000865E3">
      <w:rPr>
        <w:rFonts w:ascii="Avenir Book" w:hAnsi="Avenir Book"/>
      </w:rPr>
      <w:t xml:space="preserve"> / www.reproductiveaccess.org </w:t>
    </w:r>
  </w:p>
  <w:p w14:paraId="32650E81" w14:textId="77777777" w:rsidR="00304A58" w:rsidRPr="001A6DE2" w:rsidRDefault="00304A58" w:rsidP="001A6D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AA0C17" w14:textId="77777777" w:rsidR="00304A58" w:rsidRDefault="00304A58">
      <w:pPr>
        <w:spacing w:line="240" w:lineRule="auto"/>
      </w:pPr>
      <w:r>
        <w:separator/>
      </w:r>
    </w:p>
  </w:footnote>
  <w:footnote w:type="continuationSeparator" w:id="0">
    <w:p w14:paraId="3EC79662" w14:textId="77777777" w:rsidR="00304A58" w:rsidRDefault="00304A58">
      <w:pPr>
        <w:spacing w:line="240" w:lineRule="auto"/>
      </w:pPr>
      <w:r>
        <w:continuationSeparator/>
      </w:r>
    </w:p>
  </w:footnote>
  <w:footnote w:id="1">
    <w:p w14:paraId="00000033" w14:textId="77777777" w:rsidR="00304A58" w:rsidRPr="001A6DE2" w:rsidRDefault="00304A58">
      <w:pPr>
        <w:pStyle w:val="normal0"/>
        <w:spacing w:line="240" w:lineRule="auto"/>
        <w:rPr>
          <w:rFonts w:ascii="Avenir Book" w:eastAsia="Calibri" w:hAnsi="Avenir Book" w:cs="Calibri"/>
          <w:sz w:val="20"/>
          <w:szCs w:val="20"/>
        </w:rPr>
      </w:pPr>
      <w:r w:rsidRPr="001A6DE2">
        <w:rPr>
          <w:rFonts w:ascii="Avenir Book" w:hAnsi="Avenir Book"/>
          <w:vertAlign w:val="superscript"/>
        </w:rPr>
        <w:footnoteRef/>
      </w:r>
      <w:r w:rsidRPr="001A6DE2">
        <w:rPr>
          <w:rFonts w:ascii="Avenir Book" w:eastAsia="Calibri" w:hAnsi="Avenir Book" w:cs="Calibri"/>
          <w:sz w:val="20"/>
          <w:szCs w:val="20"/>
        </w:rPr>
        <w:t xml:space="preserve"> Tubal ectopic pregnancy. ACOG Practice Bulletin No. 193. American College of Obstetricians and Gynecologists. </w:t>
      </w:r>
      <w:r w:rsidRPr="001A6DE2">
        <w:rPr>
          <w:rFonts w:ascii="Avenir Book" w:eastAsia="Calibri" w:hAnsi="Avenir Book" w:cs="Calibri"/>
          <w:i/>
          <w:sz w:val="20"/>
          <w:szCs w:val="20"/>
        </w:rPr>
        <w:t>Obstet Gynecol</w:t>
      </w:r>
      <w:r w:rsidRPr="001A6DE2">
        <w:rPr>
          <w:rFonts w:ascii="Avenir Book" w:eastAsia="Calibri" w:hAnsi="Avenir Book" w:cs="Calibri"/>
          <w:sz w:val="20"/>
          <w:szCs w:val="20"/>
        </w:rPr>
        <w:t xml:space="preserve"> 2018; 131;e91-103. </w:t>
      </w:r>
    </w:p>
  </w:footnote>
  <w:footnote w:id="2">
    <w:p w14:paraId="00000032" w14:textId="77777777" w:rsidR="00304A58" w:rsidRPr="001A6DE2" w:rsidRDefault="00304A58">
      <w:pPr>
        <w:pStyle w:val="normal0"/>
        <w:spacing w:line="240" w:lineRule="auto"/>
        <w:rPr>
          <w:rFonts w:ascii="Avenir Book" w:eastAsia="Calibri" w:hAnsi="Avenir Book" w:cs="Calibri"/>
          <w:sz w:val="20"/>
          <w:szCs w:val="20"/>
        </w:rPr>
      </w:pPr>
      <w:r w:rsidRPr="001A6DE2">
        <w:rPr>
          <w:rFonts w:ascii="Avenir Book" w:hAnsi="Avenir Book"/>
          <w:vertAlign w:val="superscript"/>
        </w:rPr>
        <w:footnoteRef/>
      </w:r>
      <w:r w:rsidRPr="001A6DE2">
        <w:rPr>
          <w:rFonts w:ascii="Avenir Book" w:eastAsia="Calibri" w:hAnsi="Avenir Book" w:cs="Calibri"/>
          <w:sz w:val="20"/>
          <w:szCs w:val="20"/>
        </w:rPr>
        <w:t xml:space="preserve"> </w:t>
      </w:r>
      <w:r w:rsidRPr="001A6DE2">
        <w:rPr>
          <w:rFonts w:ascii="Avenir Book" w:eastAsia="Calibri" w:hAnsi="Avenir Book" w:cs="Calibri"/>
          <w:color w:val="222222"/>
          <w:sz w:val="20"/>
          <w:szCs w:val="20"/>
          <w:highlight w:val="white"/>
        </w:rPr>
        <w:t xml:space="preserve">Medical treatment of ectopic pregnancy: a committee opinion. Practice Committee of American Society for Reproductive Medicine. </w:t>
      </w:r>
      <w:r w:rsidRPr="001A6DE2">
        <w:rPr>
          <w:rFonts w:ascii="Avenir Book" w:eastAsia="Calibri" w:hAnsi="Avenir Book" w:cs="Calibri"/>
          <w:i/>
          <w:color w:val="222222"/>
          <w:sz w:val="20"/>
          <w:szCs w:val="20"/>
          <w:highlight w:val="white"/>
        </w:rPr>
        <w:t>Fertil Steril</w:t>
      </w:r>
      <w:r w:rsidRPr="001A6DE2">
        <w:rPr>
          <w:rFonts w:ascii="Avenir Book" w:eastAsia="Calibri" w:hAnsi="Avenir Book" w:cs="Calibri"/>
          <w:color w:val="222222"/>
          <w:sz w:val="20"/>
          <w:szCs w:val="20"/>
          <w:highlight w:val="white"/>
        </w:rPr>
        <w:t xml:space="preserve"> 2013;100(3):638–44</w:t>
      </w:r>
    </w:p>
  </w:footnote>
  <w:footnote w:id="3">
    <w:p w14:paraId="00000034" w14:textId="77777777" w:rsidR="00304A58" w:rsidRPr="001A6DE2" w:rsidRDefault="00304A58">
      <w:pPr>
        <w:pStyle w:val="normal0"/>
        <w:spacing w:line="240" w:lineRule="auto"/>
        <w:rPr>
          <w:rFonts w:ascii="Avenir Book" w:eastAsia="Calibri" w:hAnsi="Avenir Book" w:cs="Calibri"/>
          <w:sz w:val="20"/>
          <w:szCs w:val="20"/>
        </w:rPr>
      </w:pPr>
      <w:r w:rsidRPr="001A6DE2">
        <w:rPr>
          <w:rFonts w:ascii="Avenir Book" w:hAnsi="Avenir Book"/>
          <w:vertAlign w:val="superscript"/>
        </w:rPr>
        <w:footnoteRef/>
      </w:r>
      <w:r w:rsidRPr="001A6DE2">
        <w:rPr>
          <w:rFonts w:ascii="Avenir Book" w:eastAsia="Calibri" w:hAnsi="Avenir Book" w:cs="Calibri"/>
          <w:sz w:val="20"/>
          <w:szCs w:val="20"/>
        </w:rPr>
        <w:t xml:space="preserve"> </w:t>
      </w:r>
      <w:r w:rsidRPr="001A6DE2">
        <w:rPr>
          <w:rFonts w:ascii="Avenir Book" w:eastAsia="Calibri" w:hAnsi="Avenir Book" w:cs="Calibri"/>
          <w:sz w:val="20"/>
          <w:szCs w:val="20"/>
        </w:rPr>
        <w:t>Barash JH, Buchanan EM, Hillson C. Diagnosis and management of ectopic pregnancy. Am Fam Physician. 2014;90:34–40</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919"/>
    <w:multiLevelType w:val="multilevel"/>
    <w:tmpl w:val="4E882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A986226"/>
    <w:multiLevelType w:val="multilevel"/>
    <w:tmpl w:val="346A3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DEE42D7"/>
    <w:multiLevelType w:val="multilevel"/>
    <w:tmpl w:val="E028D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C6718E4"/>
    <w:multiLevelType w:val="multilevel"/>
    <w:tmpl w:val="2138D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76D02C9"/>
    <w:multiLevelType w:val="multilevel"/>
    <w:tmpl w:val="10D8A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7B1819DB"/>
    <w:multiLevelType w:val="multilevel"/>
    <w:tmpl w:val="352C3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hdrShapeDefaults>
    <o:shapedefaults v:ext="edit" spidmax="1026"/>
  </w:hdrShapeDefaults>
  <w:footnotePr>
    <w:footnote w:id="-1"/>
    <w:footnote w:id="0"/>
  </w:footnotePr>
  <w:endnotePr>
    <w:endnote w:id="-1"/>
    <w:endnote w:id="0"/>
  </w:endnotePr>
  <w:compat>
    <w:compatSetting w:name="compatibilityMode" w:uri="http://schemas.microsoft.com/office/word" w:val="14"/>
  </w:compat>
  <w:rsids>
    <w:rsidRoot w:val="00C5487F"/>
    <w:rsid w:val="001A6DE2"/>
    <w:rsid w:val="002E36C5"/>
    <w:rsid w:val="00304A58"/>
    <w:rsid w:val="00C5487F"/>
    <w:rsid w:val="00CC2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1A6DE2"/>
    <w:pPr>
      <w:tabs>
        <w:tab w:val="center" w:pos="4320"/>
        <w:tab w:val="right" w:pos="8640"/>
      </w:tabs>
      <w:spacing w:line="240" w:lineRule="auto"/>
    </w:pPr>
  </w:style>
  <w:style w:type="character" w:customStyle="1" w:styleId="HeaderChar">
    <w:name w:val="Header Char"/>
    <w:basedOn w:val="DefaultParagraphFont"/>
    <w:link w:val="Header"/>
    <w:uiPriority w:val="99"/>
    <w:rsid w:val="001A6DE2"/>
  </w:style>
  <w:style w:type="paragraph" w:styleId="Footer">
    <w:name w:val="footer"/>
    <w:basedOn w:val="Normal"/>
    <w:link w:val="FooterChar"/>
    <w:uiPriority w:val="99"/>
    <w:unhideWhenUsed/>
    <w:rsid w:val="001A6DE2"/>
    <w:pPr>
      <w:tabs>
        <w:tab w:val="center" w:pos="4320"/>
        <w:tab w:val="right" w:pos="8640"/>
      </w:tabs>
      <w:spacing w:line="240" w:lineRule="auto"/>
    </w:pPr>
  </w:style>
  <w:style w:type="character" w:customStyle="1" w:styleId="FooterChar">
    <w:name w:val="Footer Char"/>
    <w:basedOn w:val="DefaultParagraphFont"/>
    <w:link w:val="Footer"/>
    <w:uiPriority w:val="99"/>
    <w:rsid w:val="001A6D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Header">
    <w:name w:val="header"/>
    <w:basedOn w:val="Normal"/>
    <w:link w:val="HeaderChar"/>
    <w:uiPriority w:val="99"/>
    <w:unhideWhenUsed/>
    <w:rsid w:val="001A6DE2"/>
    <w:pPr>
      <w:tabs>
        <w:tab w:val="center" w:pos="4320"/>
        <w:tab w:val="right" w:pos="8640"/>
      </w:tabs>
      <w:spacing w:line="240" w:lineRule="auto"/>
    </w:pPr>
  </w:style>
  <w:style w:type="character" w:customStyle="1" w:styleId="HeaderChar">
    <w:name w:val="Header Char"/>
    <w:basedOn w:val="DefaultParagraphFont"/>
    <w:link w:val="Header"/>
    <w:uiPriority w:val="99"/>
    <w:rsid w:val="001A6DE2"/>
  </w:style>
  <w:style w:type="paragraph" w:styleId="Footer">
    <w:name w:val="footer"/>
    <w:basedOn w:val="Normal"/>
    <w:link w:val="FooterChar"/>
    <w:uiPriority w:val="99"/>
    <w:unhideWhenUsed/>
    <w:rsid w:val="001A6DE2"/>
    <w:pPr>
      <w:tabs>
        <w:tab w:val="center" w:pos="4320"/>
        <w:tab w:val="right" w:pos="8640"/>
      </w:tabs>
      <w:spacing w:line="240" w:lineRule="auto"/>
    </w:pPr>
  </w:style>
  <w:style w:type="character" w:customStyle="1" w:styleId="FooterChar">
    <w:name w:val="Footer Char"/>
    <w:basedOn w:val="DefaultParagraphFont"/>
    <w:link w:val="Footer"/>
    <w:uiPriority w:val="99"/>
    <w:rsid w:val="001A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dcalc.com/body-mass-index-bmi-body-surface-area-bsa" TargetMode="External"/><Relationship Id="rId9" Type="http://schemas.openxmlformats.org/officeDocument/2006/relationships/hyperlink" Target="https://www.mdcalc.com/body-mass-index-bmi-body-surface-area-bsa" TargetMode="Externa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784</Words>
  <Characters>4473</Characters>
  <Application>Microsoft Macintosh Word</Application>
  <DocSecurity>0</DocSecurity>
  <Lines>37</Lines>
  <Paragraphs>10</Paragraphs>
  <ScaleCrop>false</ScaleCrop>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Maggie Field</cp:lastModifiedBy>
  <cp:revision>4</cp:revision>
  <dcterms:created xsi:type="dcterms:W3CDTF">2020-04-02T16:15:00Z</dcterms:created>
  <dcterms:modified xsi:type="dcterms:W3CDTF">2020-04-02T16:45:00Z</dcterms:modified>
</cp:coreProperties>
</file>