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3F74" w14:textId="49EB63A9" w:rsidR="00CB4AFE" w:rsidRPr="0056369E" w:rsidRDefault="00045A74">
      <w:pPr>
        <w:rPr>
          <w:rFonts w:ascii="Avenir Book" w:hAnsi="Avenir Book"/>
          <w:b/>
          <w:bCs/>
        </w:rPr>
      </w:pPr>
      <w:r w:rsidRPr="0056369E">
        <w:rPr>
          <w:rFonts w:ascii="Avenir Book" w:hAnsi="Avenir Book"/>
          <w:b/>
          <w:bCs/>
        </w:rPr>
        <w:t>Long Acting Reversible Contraceptives: The Basics</w:t>
      </w:r>
    </w:p>
    <w:p w14:paraId="665B34B7" w14:textId="5E0FDE1B" w:rsidR="00045A74" w:rsidRPr="0056369E" w:rsidRDefault="00045A74">
      <w:pPr>
        <w:rPr>
          <w:rFonts w:ascii="Avenir Book" w:hAnsi="Avenir Book"/>
        </w:rPr>
      </w:pPr>
      <w:r w:rsidRPr="0056369E">
        <w:rPr>
          <w:rFonts w:ascii="Avenir Book" w:hAnsi="Avenir Book"/>
        </w:rPr>
        <w:t>Facilitator’s Guide</w:t>
      </w:r>
    </w:p>
    <w:p w14:paraId="21C89D1C" w14:textId="284009D9" w:rsidR="00045A74" w:rsidRPr="0056369E" w:rsidRDefault="00045A74">
      <w:pPr>
        <w:rPr>
          <w:rFonts w:ascii="Avenir Book" w:hAnsi="Avenir Book"/>
        </w:rPr>
      </w:pPr>
    </w:p>
    <w:p w14:paraId="3BC69908" w14:textId="00C2F428" w:rsidR="00045A74" w:rsidRPr="0056369E" w:rsidRDefault="00045A74">
      <w:pPr>
        <w:rPr>
          <w:rFonts w:ascii="Avenir Book" w:hAnsi="Avenir Book"/>
          <w:b/>
          <w:bCs/>
        </w:rPr>
      </w:pPr>
      <w:r w:rsidRPr="0056369E">
        <w:rPr>
          <w:rFonts w:ascii="Avenir Book" w:hAnsi="Avenir Book"/>
          <w:b/>
          <w:bCs/>
        </w:rPr>
        <w:t>Overview</w:t>
      </w:r>
    </w:p>
    <w:p w14:paraId="4B89FE4E" w14:textId="33D0C0BB" w:rsidR="00045A74" w:rsidRPr="0056369E" w:rsidRDefault="00045A74">
      <w:pPr>
        <w:rPr>
          <w:rFonts w:ascii="Avenir Book" w:hAnsi="Avenir Book"/>
        </w:rPr>
      </w:pPr>
      <w:r w:rsidRPr="0056369E">
        <w:rPr>
          <w:rFonts w:ascii="Avenir Book" w:hAnsi="Avenir Book"/>
        </w:rPr>
        <w:t xml:space="preserve">This presentation is designed to be both didactic and interactive. Use the slide deck provided to guide participants through the content and conversations. The notes within the slide deck contain the core contents of this workshop, including videos, discussion points, and resources. There are four additional case studies outside of the slide deck to use with participants. These case studies are a core component of the workshop. We encourage you to divide participants into small groups to work through 1-2 case studies on their own, and report back to the larger group if there is time. You’ll find a facilitator’s case study guide with discussion points and a participant guide with blank sections for participants to take notes. This workshop should take up to two hours to complete. If you are interested in providing CE credit for this workshop and haven’t contacted us already, please reach out to </w:t>
      </w:r>
      <w:hyperlink r:id="rId7" w:history="1">
        <w:r w:rsidRPr="0056369E">
          <w:rPr>
            <w:rStyle w:val="Hyperlink"/>
            <w:rFonts w:ascii="Avenir Book" w:hAnsi="Avenir Book"/>
          </w:rPr>
          <w:t>network@reproductiveaccess.org</w:t>
        </w:r>
      </w:hyperlink>
      <w:r w:rsidRPr="0056369E">
        <w:rPr>
          <w:rFonts w:ascii="Avenir Book" w:hAnsi="Avenir Book"/>
        </w:rPr>
        <w:t xml:space="preserve">. </w:t>
      </w:r>
    </w:p>
    <w:p w14:paraId="4AED6DC9" w14:textId="77777777" w:rsidR="00045A74" w:rsidRPr="0056369E" w:rsidRDefault="00045A74">
      <w:pPr>
        <w:rPr>
          <w:rFonts w:ascii="Avenir Book" w:hAnsi="Avenir Book"/>
        </w:rPr>
      </w:pPr>
    </w:p>
    <w:p w14:paraId="521D5183" w14:textId="5689CDC1" w:rsidR="00045A74" w:rsidRPr="0056369E" w:rsidRDefault="00045A74">
      <w:pPr>
        <w:rPr>
          <w:rFonts w:ascii="Avenir Book" w:hAnsi="Avenir Book"/>
        </w:rPr>
      </w:pPr>
      <w:r w:rsidRPr="0056369E">
        <w:rPr>
          <w:rFonts w:ascii="Avenir Book" w:hAnsi="Avenir Book"/>
        </w:rPr>
        <w:t xml:space="preserve">In your materials, you will also find an </w:t>
      </w:r>
      <w:r w:rsidRPr="0056369E">
        <w:rPr>
          <w:rFonts w:ascii="Avenir Book" w:hAnsi="Avenir Book"/>
          <w:b/>
          <w:bCs/>
          <w:i/>
          <w:iCs/>
        </w:rPr>
        <w:t>optional</w:t>
      </w:r>
      <w:r w:rsidRPr="0056369E">
        <w:rPr>
          <w:rFonts w:ascii="Avenir Book" w:hAnsi="Avenir Book"/>
        </w:rPr>
        <w:t xml:space="preserve"> LARC: Advanced slide deck if your learners are more advanced and interested in learning about challenging situations involving LARC insertions and removals. Some content in the advanced slide deck is repeated, as this presentation could stand alone. Here, you will also find new content with resources and discussion points in the notes section to help guide your presentation. </w:t>
      </w:r>
    </w:p>
    <w:p w14:paraId="7FA74D69" w14:textId="5051AF5A" w:rsidR="00A9074A" w:rsidRPr="0056369E" w:rsidRDefault="00A9074A">
      <w:pPr>
        <w:rPr>
          <w:rFonts w:ascii="Avenir Book" w:hAnsi="Avenir Book"/>
        </w:rPr>
      </w:pPr>
    </w:p>
    <w:p w14:paraId="68C0F36C" w14:textId="2AE2EF28" w:rsidR="00A9074A" w:rsidRPr="0056369E" w:rsidRDefault="00A9074A">
      <w:pPr>
        <w:rPr>
          <w:rFonts w:ascii="Avenir Book" w:hAnsi="Avenir Book"/>
          <w:b/>
          <w:bCs/>
        </w:rPr>
      </w:pPr>
      <w:r w:rsidRPr="0056369E">
        <w:rPr>
          <w:rFonts w:ascii="Avenir Book" w:hAnsi="Avenir Book"/>
          <w:b/>
          <w:bCs/>
        </w:rPr>
        <w:t>Workshop Pre and Post Tests</w:t>
      </w:r>
    </w:p>
    <w:p w14:paraId="2621854D" w14:textId="77777777" w:rsidR="00A9074A" w:rsidRPr="0056369E" w:rsidRDefault="00A9074A" w:rsidP="00A9074A">
      <w:pPr>
        <w:pStyle w:val="NormalWeb"/>
        <w:spacing w:before="0" w:beforeAutospacing="0" w:after="0" w:afterAutospacing="0"/>
      </w:pPr>
      <w:r w:rsidRPr="0056369E">
        <w:rPr>
          <w:rFonts w:ascii="Avenir Book" w:hAnsi="Avenir Book"/>
        </w:rPr>
        <w:t xml:space="preserve">We recommend you send email invitations before the workshop to participants that include the link below to the short online pre-test. </w:t>
      </w:r>
      <w:r w:rsidRPr="0056369E">
        <w:rPr>
          <w:rFonts w:ascii="Avenir" w:hAnsi="Avenir"/>
          <w:color w:val="000000"/>
        </w:rPr>
        <w:t>For anyone that has not yet completed the pre-test by the start of the workshop, begin the presentation by directing participants to the pre-test. Before participants leave, please have them complete the online post-test. Both are required to receive CE credit for participation in the workshop.</w:t>
      </w:r>
    </w:p>
    <w:p w14:paraId="6F03B3FC" w14:textId="77777777" w:rsidR="00A9074A" w:rsidRPr="0056369E" w:rsidRDefault="00A9074A" w:rsidP="00A9074A"/>
    <w:p w14:paraId="7C1CC2A7" w14:textId="48FB7F3B" w:rsidR="00A9074A" w:rsidRPr="0056369E" w:rsidRDefault="00A9074A" w:rsidP="00A9074A">
      <w:pPr>
        <w:pStyle w:val="NormalWeb"/>
        <w:spacing w:before="0" w:beforeAutospacing="0" w:after="0" w:afterAutospacing="0"/>
      </w:pPr>
      <w:r w:rsidRPr="0056369E">
        <w:rPr>
          <w:rFonts w:ascii="Avenir" w:hAnsi="Avenir"/>
          <w:color w:val="000000"/>
        </w:rPr>
        <w:t>Pre-Test:</w:t>
      </w:r>
      <w:r w:rsidR="00A17B9F">
        <w:rPr>
          <w:rFonts w:ascii="Avenir" w:hAnsi="Avenir"/>
          <w:color w:val="000000"/>
        </w:rPr>
        <w:t xml:space="preserve"> </w:t>
      </w:r>
      <w:r w:rsidR="00A17B9F" w:rsidRPr="00A17B9F">
        <w:rPr>
          <w:rFonts w:ascii="Avenir" w:hAnsi="Avenir"/>
          <w:color w:val="000000"/>
        </w:rPr>
        <w:t>https://www.surveymonkey.com/r/LARCPreTest</w:t>
      </w:r>
    </w:p>
    <w:p w14:paraId="76648776" w14:textId="2FD0BD52" w:rsidR="00A9074A" w:rsidRPr="0056369E" w:rsidRDefault="00A9074A" w:rsidP="00A9074A">
      <w:pPr>
        <w:pStyle w:val="NormalWeb"/>
        <w:spacing w:before="0" w:beforeAutospacing="0" w:after="0" w:afterAutospacing="0"/>
      </w:pPr>
      <w:r w:rsidRPr="0056369E">
        <w:rPr>
          <w:rFonts w:ascii="Avenir" w:hAnsi="Avenir"/>
          <w:color w:val="000000"/>
        </w:rPr>
        <w:t>Post-Test:</w:t>
      </w:r>
      <w:r w:rsidR="00A17B9F">
        <w:rPr>
          <w:rFonts w:ascii="Avenir" w:hAnsi="Avenir"/>
          <w:color w:val="000000"/>
        </w:rPr>
        <w:t xml:space="preserve"> </w:t>
      </w:r>
      <w:r w:rsidR="00A17B9F" w:rsidRPr="00A17B9F">
        <w:rPr>
          <w:rFonts w:ascii="Avenir" w:hAnsi="Avenir"/>
          <w:color w:val="000000"/>
        </w:rPr>
        <w:t>https://www.surveymonkey.com/r/LARCPostTest</w:t>
      </w:r>
    </w:p>
    <w:p w14:paraId="09ADB162" w14:textId="77777777" w:rsidR="00A9074A" w:rsidRPr="0056369E" w:rsidRDefault="00A9074A" w:rsidP="00A9074A"/>
    <w:p w14:paraId="5EFD9BA2" w14:textId="75CB29FB" w:rsidR="00A9074A" w:rsidRPr="0056369E" w:rsidRDefault="00A9074A">
      <w:pPr>
        <w:rPr>
          <w:rFonts w:ascii="Avenir Book" w:hAnsi="Avenir Book"/>
          <w:b/>
          <w:bCs/>
        </w:rPr>
      </w:pPr>
      <w:r w:rsidRPr="0056369E">
        <w:rPr>
          <w:rFonts w:ascii="Avenir Book" w:hAnsi="Avenir Book"/>
          <w:b/>
          <w:bCs/>
        </w:rPr>
        <w:t>Handouts</w:t>
      </w:r>
    </w:p>
    <w:p w14:paraId="0E166E4F" w14:textId="3AA90018" w:rsidR="00A9074A" w:rsidRPr="0056369E" w:rsidRDefault="00A9074A">
      <w:pPr>
        <w:rPr>
          <w:rFonts w:ascii="Avenir Book" w:hAnsi="Avenir Book"/>
        </w:rPr>
      </w:pPr>
      <w:r w:rsidRPr="0056369E">
        <w:rPr>
          <w:rFonts w:ascii="Avenir Book" w:hAnsi="Avenir Book"/>
        </w:rPr>
        <w:t xml:space="preserve">Please make sure participants have a copy of the Case Studies Learner’s Guide and access to the following resources cited in the presentation. You do not need to print out these resources, but make sure your participants know how to access them. </w:t>
      </w:r>
    </w:p>
    <w:p w14:paraId="00755C02" w14:textId="3157708D" w:rsidR="00A9074A" w:rsidRPr="0056369E" w:rsidRDefault="00A9074A">
      <w:pPr>
        <w:rPr>
          <w:rFonts w:ascii="Avenir Book" w:hAnsi="Avenir Book"/>
        </w:rPr>
      </w:pPr>
    </w:p>
    <w:p w14:paraId="57A8E7AD" w14:textId="77777777" w:rsidR="00A9074A" w:rsidRPr="00A9074A" w:rsidRDefault="002C3270" w:rsidP="00A9074A">
      <w:pPr>
        <w:numPr>
          <w:ilvl w:val="0"/>
          <w:numId w:val="1"/>
        </w:numPr>
        <w:rPr>
          <w:rFonts w:ascii="Avenir Book" w:hAnsi="Avenir Book"/>
        </w:rPr>
      </w:pPr>
      <w:hyperlink r:id="rId8" w:history="1">
        <w:r w:rsidR="00A9074A" w:rsidRPr="00A9074A">
          <w:rPr>
            <w:rStyle w:val="Hyperlink"/>
            <w:rFonts w:ascii="Avenir Book" w:hAnsi="Avenir Book"/>
          </w:rPr>
          <w:t>Medical Eligibility Criteria</w:t>
        </w:r>
      </w:hyperlink>
    </w:p>
    <w:p w14:paraId="05CCB895" w14:textId="77777777" w:rsidR="00A9074A" w:rsidRPr="00A9074A" w:rsidRDefault="002C3270" w:rsidP="00A9074A">
      <w:pPr>
        <w:numPr>
          <w:ilvl w:val="0"/>
          <w:numId w:val="1"/>
        </w:numPr>
        <w:rPr>
          <w:rFonts w:ascii="Avenir Book" w:hAnsi="Avenir Book"/>
        </w:rPr>
      </w:pPr>
      <w:hyperlink r:id="rId9" w:history="1">
        <w:r w:rsidR="00A9074A" w:rsidRPr="00A9074A">
          <w:rPr>
            <w:rStyle w:val="Hyperlink"/>
            <w:rFonts w:ascii="Avenir Book" w:hAnsi="Avenir Book"/>
          </w:rPr>
          <w:t>LARC Statement of Principles</w:t>
        </w:r>
      </w:hyperlink>
    </w:p>
    <w:p w14:paraId="19D1F2B7" w14:textId="77777777" w:rsidR="00A9074A" w:rsidRPr="00A9074A" w:rsidRDefault="002C3270" w:rsidP="00A9074A">
      <w:pPr>
        <w:numPr>
          <w:ilvl w:val="0"/>
          <w:numId w:val="1"/>
        </w:numPr>
        <w:rPr>
          <w:rFonts w:ascii="Avenir Book" w:hAnsi="Avenir Book"/>
        </w:rPr>
      </w:pPr>
      <w:hyperlink r:id="rId10" w:history="1">
        <w:r w:rsidR="00A9074A" w:rsidRPr="00A9074A">
          <w:rPr>
            <w:rStyle w:val="Hyperlink"/>
            <w:rFonts w:ascii="Avenir Book" w:hAnsi="Avenir Book"/>
          </w:rPr>
          <w:t xml:space="preserve">IUD </w:t>
        </w:r>
      </w:hyperlink>
      <w:hyperlink r:id="rId11" w:history="1">
        <w:r w:rsidR="00A9074A" w:rsidRPr="00A9074A">
          <w:rPr>
            <w:rStyle w:val="Hyperlink"/>
            <w:rFonts w:ascii="Avenir Book" w:hAnsi="Avenir Book"/>
          </w:rPr>
          <w:t>Factsheet</w:t>
        </w:r>
      </w:hyperlink>
    </w:p>
    <w:p w14:paraId="26590E01" w14:textId="77777777" w:rsidR="00A9074A" w:rsidRPr="00A9074A" w:rsidRDefault="002C3270" w:rsidP="00A9074A">
      <w:pPr>
        <w:numPr>
          <w:ilvl w:val="0"/>
          <w:numId w:val="1"/>
        </w:numPr>
        <w:rPr>
          <w:rFonts w:ascii="Avenir Book" w:hAnsi="Avenir Book"/>
        </w:rPr>
      </w:pPr>
      <w:hyperlink r:id="rId12" w:history="1">
        <w:r w:rsidR="00A9074A" w:rsidRPr="00A9074A">
          <w:rPr>
            <w:rStyle w:val="Hyperlink"/>
            <w:rFonts w:ascii="Avenir Book" w:hAnsi="Avenir Book"/>
          </w:rPr>
          <w:t>IUD Self-Removal Factsheet</w:t>
        </w:r>
      </w:hyperlink>
    </w:p>
    <w:p w14:paraId="417B06B1" w14:textId="77777777" w:rsidR="00A9074A" w:rsidRPr="00A9074A" w:rsidRDefault="002C3270" w:rsidP="00A9074A">
      <w:pPr>
        <w:numPr>
          <w:ilvl w:val="0"/>
          <w:numId w:val="1"/>
        </w:numPr>
        <w:rPr>
          <w:rFonts w:ascii="Avenir Book" w:hAnsi="Avenir Book"/>
        </w:rPr>
      </w:pPr>
      <w:hyperlink r:id="rId13" w:history="1">
        <w:r w:rsidR="00A9074A" w:rsidRPr="00A9074A">
          <w:rPr>
            <w:rStyle w:val="Hyperlink"/>
            <w:rFonts w:ascii="Avenir Book" w:hAnsi="Avenir Book"/>
          </w:rPr>
          <w:t xml:space="preserve">Quick </w:t>
        </w:r>
      </w:hyperlink>
      <w:hyperlink r:id="rId14" w:history="1">
        <w:r w:rsidR="00A9074A" w:rsidRPr="00A9074A">
          <w:rPr>
            <w:rStyle w:val="Hyperlink"/>
            <w:rFonts w:ascii="Avenir Book" w:hAnsi="Avenir Book"/>
          </w:rPr>
          <w:t>Start</w:t>
        </w:r>
      </w:hyperlink>
    </w:p>
    <w:p w14:paraId="2FE1D2BA" w14:textId="77777777" w:rsidR="00A9074A" w:rsidRPr="0056369E" w:rsidRDefault="002C3270" w:rsidP="00350481">
      <w:pPr>
        <w:numPr>
          <w:ilvl w:val="0"/>
          <w:numId w:val="1"/>
        </w:numPr>
        <w:rPr>
          <w:rFonts w:ascii="Avenir Book" w:hAnsi="Avenir Book"/>
        </w:rPr>
      </w:pPr>
      <w:hyperlink r:id="rId15" w:history="1">
        <w:r w:rsidR="00A9074A" w:rsidRPr="00A9074A">
          <w:rPr>
            <w:rStyle w:val="Hyperlink"/>
            <w:rFonts w:ascii="Avenir Book" w:hAnsi="Avenir Book"/>
          </w:rPr>
          <w:t>Implant Factsheet</w:t>
        </w:r>
      </w:hyperlink>
    </w:p>
    <w:p w14:paraId="02859111" w14:textId="055DF45B" w:rsidR="00A9074A" w:rsidRPr="0056369E" w:rsidRDefault="002C3270" w:rsidP="00350481">
      <w:pPr>
        <w:numPr>
          <w:ilvl w:val="0"/>
          <w:numId w:val="1"/>
        </w:numPr>
        <w:rPr>
          <w:rFonts w:ascii="Avenir Book" w:hAnsi="Avenir Book"/>
        </w:rPr>
      </w:pPr>
      <w:hyperlink r:id="rId16" w:history="1">
        <w:r w:rsidR="00A9074A" w:rsidRPr="0056369E">
          <w:rPr>
            <w:rStyle w:val="Hyperlink"/>
            <w:rFonts w:ascii="Avenir Book" w:hAnsi="Avenir Book"/>
          </w:rPr>
          <w:t xml:space="preserve">Which EC is Right for Me? </w:t>
        </w:r>
      </w:hyperlink>
    </w:p>
    <w:p w14:paraId="0073ED34" w14:textId="7C58C3D1" w:rsidR="00A9074A" w:rsidRPr="0056369E" w:rsidRDefault="00A9074A" w:rsidP="00A9074A">
      <w:pPr>
        <w:rPr>
          <w:rFonts w:ascii="Avenir Book" w:hAnsi="Avenir Book"/>
        </w:rPr>
      </w:pPr>
    </w:p>
    <w:p w14:paraId="7E683B9B" w14:textId="77777777" w:rsidR="00A9074A" w:rsidRPr="00A9074A" w:rsidRDefault="00A9074A" w:rsidP="00A9074A">
      <w:r w:rsidRPr="00A9074A">
        <w:rPr>
          <w:rFonts w:ascii="Avenir" w:hAnsi="Avenir"/>
          <w:b/>
          <w:bCs/>
          <w:color w:val="000000"/>
        </w:rPr>
        <w:t>Slide Deck</w:t>
      </w:r>
    </w:p>
    <w:p w14:paraId="7FC3AF0D" w14:textId="77777777" w:rsidR="00A9074A" w:rsidRPr="00A9074A" w:rsidRDefault="00A9074A" w:rsidP="00A9074A">
      <w:pPr>
        <w:rPr>
          <w:rFonts w:ascii="Avenir Book" w:hAnsi="Avenir Book"/>
          <w:b/>
          <w:bCs/>
        </w:rPr>
      </w:pPr>
      <w:r w:rsidRPr="00A9074A">
        <w:rPr>
          <w:rFonts w:ascii="Avenir" w:hAnsi="Avenir"/>
          <w:b/>
          <w:bCs/>
          <w:color w:val="000000"/>
        </w:rPr>
        <w:t>Workshop Learning Objectives</w:t>
      </w:r>
    </w:p>
    <w:p w14:paraId="111F8EC5" w14:textId="3EEAF647" w:rsidR="00A9074A" w:rsidRPr="0056369E" w:rsidRDefault="00A9074A" w:rsidP="00A9074A">
      <w:pPr>
        <w:pStyle w:val="ListParagraph"/>
        <w:numPr>
          <w:ilvl w:val="0"/>
          <w:numId w:val="2"/>
        </w:numPr>
        <w:rPr>
          <w:rFonts w:ascii="Avenir Book" w:hAnsi="Avenir Book"/>
        </w:rPr>
      </w:pPr>
      <w:r w:rsidRPr="0056369E">
        <w:rPr>
          <w:rFonts w:ascii="Avenir Book" w:hAnsi="Avenir Book"/>
        </w:rPr>
        <w:t>Explain the basic information for history taking and patient-centered counseling on LARCs (IUDs and implants), including contraindications</w:t>
      </w:r>
      <w:r w:rsidR="003D7395" w:rsidRPr="0056369E">
        <w:rPr>
          <w:rFonts w:ascii="Avenir Book" w:hAnsi="Avenir Book"/>
        </w:rPr>
        <w:t>.</w:t>
      </w:r>
    </w:p>
    <w:p w14:paraId="044C3A86" w14:textId="020ED101" w:rsidR="00A9074A" w:rsidRPr="0056369E" w:rsidRDefault="00A9074A" w:rsidP="00A9074A">
      <w:pPr>
        <w:pStyle w:val="ListParagraph"/>
        <w:numPr>
          <w:ilvl w:val="0"/>
          <w:numId w:val="2"/>
        </w:numPr>
        <w:rPr>
          <w:rFonts w:ascii="Avenir Book" w:hAnsi="Avenir Book"/>
        </w:rPr>
      </w:pPr>
      <w:r w:rsidRPr="0056369E">
        <w:rPr>
          <w:rFonts w:ascii="Avenir Book" w:hAnsi="Avenir Book"/>
        </w:rPr>
        <w:t>Examine the history, present, and legacy of reproductive coercion and how it relates to LARC care and use today.</w:t>
      </w:r>
    </w:p>
    <w:p w14:paraId="0D74D168" w14:textId="2D8DB6A6" w:rsidR="00A9074A" w:rsidRPr="0056369E" w:rsidRDefault="00A9074A" w:rsidP="00A9074A">
      <w:pPr>
        <w:pStyle w:val="ListParagraph"/>
        <w:numPr>
          <w:ilvl w:val="0"/>
          <w:numId w:val="2"/>
        </w:numPr>
        <w:rPr>
          <w:rFonts w:ascii="Avenir Book" w:hAnsi="Avenir Book"/>
        </w:rPr>
      </w:pPr>
      <w:r w:rsidRPr="0056369E">
        <w:rPr>
          <w:rFonts w:ascii="Avenir Book" w:hAnsi="Avenir Book"/>
        </w:rPr>
        <w:t>Access online resources for patient education and clinician references regarding medical eligibility</w:t>
      </w:r>
      <w:r w:rsidR="003D7395" w:rsidRPr="0056369E">
        <w:rPr>
          <w:rFonts w:ascii="Avenir Book" w:hAnsi="Avenir Book"/>
        </w:rPr>
        <w:t>.</w:t>
      </w:r>
    </w:p>
    <w:p w14:paraId="30A4D778" w14:textId="60832839" w:rsidR="003D7395" w:rsidRPr="0056369E" w:rsidRDefault="003D7395" w:rsidP="00A9074A">
      <w:pPr>
        <w:pStyle w:val="ListParagraph"/>
        <w:numPr>
          <w:ilvl w:val="0"/>
          <w:numId w:val="2"/>
        </w:numPr>
        <w:rPr>
          <w:rFonts w:ascii="Avenir Book" w:hAnsi="Avenir Book"/>
        </w:rPr>
      </w:pPr>
      <w:r w:rsidRPr="0056369E">
        <w:rPr>
          <w:rFonts w:ascii="Avenir Book" w:hAnsi="Avenir Book"/>
        </w:rPr>
        <w:t>Describe the techniques for insertion and removal of all LARC options.</w:t>
      </w:r>
    </w:p>
    <w:p w14:paraId="22AB0E44" w14:textId="3DEBA76C" w:rsidR="003D7395" w:rsidRPr="0056369E" w:rsidRDefault="003D7395" w:rsidP="003D7395">
      <w:pPr>
        <w:rPr>
          <w:rFonts w:ascii="Avenir Book" w:hAnsi="Avenir Book"/>
        </w:rPr>
      </w:pPr>
    </w:p>
    <w:p w14:paraId="745D198A" w14:textId="15522C86" w:rsidR="00A9074A" w:rsidRPr="0056369E" w:rsidRDefault="007D2B62" w:rsidP="00A9074A">
      <w:pPr>
        <w:rPr>
          <w:rFonts w:ascii="Avenir Book" w:hAnsi="Avenir Book"/>
          <w:b/>
          <w:bCs/>
        </w:rPr>
      </w:pPr>
      <w:r w:rsidRPr="0056369E">
        <w:rPr>
          <w:rFonts w:ascii="Avenir Book" w:hAnsi="Avenir Book"/>
          <w:b/>
          <w:bCs/>
        </w:rPr>
        <w:t>Context on Supporting Patients</w:t>
      </w:r>
    </w:p>
    <w:p w14:paraId="0C82D997" w14:textId="2943ACF2" w:rsidR="007D2B62" w:rsidRPr="0056369E" w:rsidRDefault="007D2B62" w:rsidP="00A9074A">
      <w:pPr>
        <w:rPr>
          <w:rFonts w:ascii="Avenir Book" w:hAnsi="Avenir Book"/>
        </w:rPr>
      </w:pPr>
      <w:r w:rsidRPr="0056369E">
        <w:rPr>
          <w:rFonts w:ascii="Avenir Book" w:hAnsi="Avenir Book"/>
        </w:rPr>
        <w:t>Slide 5-</w:t>
      </w:r>
      <w:r w:rsidR="00734377" w:rsidRPr="0056369E">
        <w:rPr>
          <w:rFonts w:ascii="Avenir Book" w:hAnsi="Avenir Book"/>
        </w:rPr>
        <w:t>6</w:t>
      </w:r>
      <w:r w:rsidRPr="0056369E">
        <w:rPr>
          <w:rFonts w:ascii="Avenir Book" w:hAnsi="Avenir Book"/>
        </w:rPr>
        <w:t xml:space="preserve"> introduce the audience to patient-centeredness in LARC care</w:t>
      </w:r>
      <w:r w:rsidR="00734377" w:rsidRPr="0056369E">
        <w:rPr>
          <w:rFonts w:ascii="Avenir Book" w:hAnsi="Avenir Book"/>
        </w:rPr>
        <w:t xml:space="preserve"> and any kind of reproductive health care.</w:t>
      </w:r>
      <w:r w:rsidRPr="0056369E">
        <w:rPr>
          <w:rFonts w:ascii="Avenir Book" w:hAnsi="Avenir Book"/>
        </w:rPr>
        <w:t xml:space="preserve"> </w:t>
      </w:r>
      <w:r w:rsidR="00734377" w:rsidRPr="0056369E">
        <w:rPr>
          <w:rFonts w:ascii="Avenir Book" w:hAnsi="Avenir Book"/>
        </w:rPr>
        <w:t xml:space="preserve">Watch the Bedsider video and talk about what helps patients in these situations. </w:t>
      </w:r>
    </w:p>
    <w:p w14:paraId="244E93C3" w14:textId="75875D21" w:rsidR="00734377" w:rsidRPr="0056369E" w:rsidRDefault="00734377" w:rsidP="00A9074A">
      <w:pPr>
        <w:rPr>
          <w:rFonts w:ascii="Avenir Book" w:hAnsi="Avenir Book"/>
        </w:rPr>
      </w:pPr>
    </w:p>
    <w:p w14:paraId="650CAB27" w14:textId="12A4B065" w:rsidR="00734377" w:rsidRPr="0056369E" w:rsidRDefault="00734377" w:rsidP="00A9074A">
      <w:pPr>
        <w:rPr>
          <w:rFonts w:ascii="Avenir Book" w:hAnsi="Avenir Book"/>
          <w:b/>
          <w:bCs/>
        </w:rPr>
      </w:pPr>
      <w:r w:rsidRPr="0056369E">
        <w:rPr>
          <w:rFonts w:ascii="Avenir Book" w:hAnsi="Avenir Book"/>
          <w:b/>
          <w:bCs/>
        </w:rPr>
        <w:t>Background on LARC Use</w:t>
      </w:r>
    </w:p>
    <w:p w14:paraId="530FC6EA" w14:textId="77649D3A" w:rsidR="00734377" w:rsidRPr="0056369E" w:rsidRDefault="00734377" w:rsidP="00A9074A">
      <w:pPr>
        <w:rPr>
          <w:rFonts w:ascii="Avenir Book" w:hAnsi="Avenir Book"/>
        </w:rPr>
      </w:pPr>
      <w:r w:rsidRPr="0056369E">
        <w:rPr>
          <w:rFonts w:ascii="Avenir Book" w:hAnsi="Avenir Book"/>
        </w:rPr>
        <w:t xml:space="preserve">Slide 7 and 8 discuss why LARC methods are an important component of the full spectrum of contraception and their increase in use over the past decades. </w:t>
      </w:r>
    </w:p>
    <w:p w14:paraId="69F0BFF7" w14:textId="54015759" w:rsidR="003E33DE" w:rsidRPr="0056369E" w:rsidRDefault="003E33DE" w:rsidP="00A9074A">
      <w:pPr>
        <w:rPr>
          <w:rFonts w:ascii="Avenir Book" w:hAnsi="Avenir Book"/>
        </w:rPr>
      </w:pPr>
    </w:p>
    <w:p w14:paraId="5280CB65" w14:textId="2A532A55" w:rsidR="003E33DE" w:rsidRPr="0056369E" w:rsidRDefault="003E33DE" w:rsidP="00A9074A">
      <w:pPr>
        <w:rPr>
          <w:rFonts w:ascii="Avenir Book" w:hAnsi="Avenir Book"/>
          <w:b/>
          <w:bCs/>
        </w:rPr>
      </w:pPr>
      <w:r w:rsidRPr="0056369E">
        <w:rPr>
          <w:rFonts w:ascii="Avenir Book" w:hAnsi="Avenir Book"/>
          <w:b/>
          <w:bCs/>
        </w:rPr>
        <w:t>Patient-Centered Counseling, Reproductive Autonomy</w:t>
      </w:r>
    </w:p>
    <w:p w14:paraId="55B3D0C8" w14:textId="01759F40" w:rsidR="003E33DE" w:rsidRPr="0056369E" w:rsidRDefault="003E33DE" w:rsidP="00A9074A">
      <w:pPr>
        <w:rPr>
          <w:rFonts w:ascii="Avenir Book" w:hAnsi="Avenir Book"/>
        </w:rPr>
      </w:pPr>
      <w:r w:rsidRPr="0056369E">
        <w:rPr>
          <w:rFonts w:ascii="Avenir Book" w:hAnsi="Avenir Book"/>
        </w:rPr>
        <w:t xml:space="preserve">Slide 9-11 highlight the importance and how to conduct patient-centered contraceptive counseling, with special attention to the unjust, discriminatory legacy and harm of contraceptive coercion and abuse perpetuated by institutions, governments, </w:t>
      </w:r>
      <w:r w:rsidR="0056369E" w:rsidRPr="0056369E">
        <w:rPr>
          <w:rFonts w:ascii="Avenir Book" w:hAnsi="Avenir Book"/>
        </w:rPr>
        <w:t>etc.</w:t>
      </w:r>
      <w:r w:rsidRPr="0056369E">
        <w:rPr>
          <w:rFonts w:ascii="Avenir Book" w:hAnsi="Avenir Book"/>
        </w:rPr>
        <w:t xml:space="preserve"> on Black, Indigenous, and People of Color. Watch and discuss the video on Slide 9, review the LARC Statement of Principles on Slide 10, and discuss one example of this legacy through the Puerto Rican Birth Control Trials on page 11. </w:t>
      </w:r>
    </w:p>
    <w:p w14:paraId="0AC25ABD" w14:textId="5D1FAC85" w:rsidR="003E33DE" w:rsidRPr="0056369E" w:rsidRDefault="003E33DE" w:rsidP="00A9074A">
      <w:pPr>
        <w:rPr>
          <w:rFonts w:ascii="Avenir Book" w:hAnsi="Avenir Book"/>
        </w:rPr>
      </w:pPr>
    </w:p>
    <w:p w14:paraId="232A5C6F" w14:textId="63066061" w:rsidR="003E33DE" w:rsidRPr="0056369E" w:rsidRDefault="003E33DE" w:rsidP="00A9074A">
      <w:pPr>
        <w:rPr>
          <w:rFonts w:ascii="Avenir Book" w:hAnsi="Avenir Book"/>
          <w:b/>
          <w:bCs/>
        </w:rPr>
      </w:pPr>
      <w:r w:rsidRPr="0056369E">
        <w:rPr>
          <w:rFonts w:ascii="Avenir Book" w:hAnsi="Avenir Book"/>
          <w:b/>
          <w:bCs/>
        </w:rPr>
        <w:t>Tools for Assessing Eligibility</w:t>
      </w:r>
    </w:p>
    <w:p w14:paraId="452FA779" w14:textId="470ADFD8" w:rsidR="003E33DE" w:rsidRPr="0056369E" w:rsidRDefault="003E33DE" w:rsidP="00A9074A">
      <w:pPr>
        <w:rPr>
          <w:rFonts w:ascii="Avenir Book" w:hAnsi="Avenir Book"/>
        </w:rPr>
      </w:pPr>
      <w:r w:rsidRPr="0056369E">
        <w:rPr>
          <w:rFonts w:ascii="Avenir Book" w:hAnsi="Avenir Book"/>
        </w:rPr>
        <w:t xml:space="preserve">Slides 12-16 highlight resources to support clinicians remember and check patients’ medical eligibility for various forms of contraception. Use Slide 14 and the </w:t>
      </w:r>
      <w:r w:rsidR="008961BB" w:rsidRPr="0056369E">
        <w:rPr>
          <w:rFonts w:ascii="Avenir Book" w:hAnsi="Avenir Book"/>
        </w:rPr>
        <w:t xml:space="preserve">CDC </w:t>
      </w:r>
      <w:r w:rsidRPr="0056369E">
        <w:rPr>
          <w:rFonts w:ascii="Avenir Book" w:hAnsi="Avenir Book"/>
        </w:rPr>
        <w:t xml:space="preserve">MEC </w:t>
      </w:r>
      <w:r w:rsidRPr="0056369E">
        <w:rPr>
          <w:rFonts w:ascii="Avenir Book" w:hAnsi="Avenir Book"/>
        </w:rPr>
        <w:lastRenderedPageBreak/>
        <w:t xml:space="preserve">to go over different kinds of conditions and their risk level for IUD and implant use. </w:t>
      </w:r>
    </w:p>
    <w:p w14:paraId="280A95CB" w14:textId="77777777" w:rsidR="003E33DE" w:rsidRPr="0056369E" w:rsidRDefault="003E33DE" w:rsidP="00A9074A">
      <w:pPr>
        <w:rPr>
          <w:rFonts w:ascii="Avenir Book" w:hAnsi="Avenir Book"/>
        </w:rPr>
      </w:pPr>
    </w:p>
    <w:p w14:paraId="33E8EF29" w14:textId="77777777" w:rsidR="003E33DE" w:rsidRPr="0056369E" w:rsidRDefault="003E33DE" w:rsidP="00A9074A">
      <w:pPr>
        <w:rPr>
          <w:rFonts w:ascii="Avenir Book" w:hAnsi="Avenir Book"/>
          <w:b/>
          <w:bCs/>
        </w:rPr>
      </w:pPr>
      <w:r w:rsidRPr="0056369E">
        <w:rPr>
          <w:rFonts w:ascii="Avenir Book" w:hAnsi="Avenir Book"/>
          <w:b/>
          <w:bCs/>
        </w:rPr>
        <w:t>Case Study: Shani</w:t>
      </w:r>
    </w:p>
    <w:p w14:paraId="06AC616D" w14:textId="4D7A1FCB" w:rsidR="003E33DE" w:rsidRPr="0056369E" w:rsidRDefault="003E33DE" w:rsidP="00A9074A">
      <w:pPr>
        <w:rPr>
          <w:rFonts w:ascii="Avenir Book" w:hAnsi="Avenir Book"/>
        </w:rPr>
      </w:pPr>
      <w:r w:rsidRPr="0056369E">
        <w:rPr>
          <w:rFonts w:ascii="Avenir Book" w:hAnsi="Avenir Book"/>
        </w:rPr>
        <w:t xml:space="preserve">Slides 17-22 use a case study to introduce participants to the different types of IUDs and their mechanisms of action. </w:t>
      </w:r>
    </w:p>
    <w:p w14:paraId="61228596" w14:textId="046BB957" w:rsidR="003E33DE" w:rsidRPr="0056369E" w:rsidRDefault="003E33DE" w:rsidP="00A9074A">
      <w:pPr>
        <w:rPr>
          <w:rFonts w:ascii="Avenir Book" w:hAnsi="Avenir Book"/>
        </w:rPr>
      </w:pPr>
    </w:p>
    <w:p w14:paraId="33B1FD06" w14:textId="2BF3F164" w:rsidR="003E33DE" w:rsidRPr="0056369E" w:rsidRDefault="003E33DE" w:rsidP="00A9074A">
      <w:pPr>
        <w:rPr>
          <w:rFonts w:ascii="Avenir Book" w:hAnsi="Avenir Book"/>
          <w:b/>
          <w:bCs/>
        </w:rPr>
      </w:pPr>
      <w:r w:rsidRPr="0056369E">
        <w:rPr>
          <w:rFonts w:ascii="Avenir Book" w:hAnsi="Avenir Book"/>
          <w:b/>
          <w:bCs/>
        </w:rPr>
        <w:t>Case Stud</w:t>
      </w:r>
      <w:r w:rsidR="00617800" w:rsidRPr="0056369E">
        <w:rPr>
          <w:rFonts w:ascii="Avenir Book" w:hAnsi="Avenir Book"/>
          <w:b/>
          <w:bCs/>
        </w:rPr>
        <w:t>ies</w:t>
      </w:r>
      <w:r w:rsidRPr="0056369E">
        <w:rPr>
          <w:rFonts w:ascii="Avenir Book" w:hAnsi="Avenir Book"/>
          <w:b/>
          <w:bCs/>
        </w:rPr>
        <w:t>: Tig</w:t>
      </w:r>
      <w:r w:rsidR="008961BB" w:rsidRPr="0056369E">
        <w:rPr>
          <w:rFonts w:ascii="Avenir Book" w:hAnsi="Avenir Book"/>
          <w:b/>
          <w:bCs/>
        </w:rPr>
        <w:t>, Krystal, and Kerry</w:t>
      </w:r>
    </w:p>
    <w:p w14:paraId="0F76A6AB" w14:textId="5E4E113B" w:rsidR="003E33DE" w:rsidRPr="0056369E" w:rsidRDefault="00615B3D" w:rsidP="00A9074A">
      <w:pPr>
        <w:rPr>
          <w:rFonts w:ascii="Avenir Book" w:hAnsi="Avenir Book"/>
        </w:rPr>
      </w:pPr>
      <w:r w:rsidRPr="0056369E">
        <w:rPr>
          <w:rFonts w:ascii="Avenir Book" w:hAnsi="Avenir Book"/>
        </w:rPr>
        <w:t>Slides 23-</w:t>
      </w:r>
      <w:r w:rsidR="00383994" w:rsidRPr="0056369E">
        <w:rPr>
          <w:rFonts w:ascii="Avenir Book" w:hAnsi="Avenir Book"/>
        </w:rPr>
        <w:t>31</w:t>
      </w:r>
      <w:r w:rsidRPr="0056369E">
        <w:rPr>
          <w:rFonts w:ascii="Avenir Book" w:hAnsi="Avenir Book"/>
        </w:rPr>
        <w:t xml:space="preserve"> uses case stud</w:t>
      </w:r>
      <w:r w:rsidR="00383994" w:rsidRPr="0056369E">
        <w:rPr>
          <w:rFonts w:ascii="Avenir Book" w:hAnsi="Avenir Book"/>
        </w:rPr>
        <w:t>ies</w:t>
      </w:r>
      <w:r w:rsidRPr="0056369E">
        <w:rPr>
          <w:rFonts w:ascii="Avenir Book" w:hAnsi="Avenir Book"/>
        </w:rPr>
        <w:t xml:space="preserve"> to </w:t>
      </w:r>
      <w:r w:rsidR="008961BB" w:rsidRPr="0056369E">
        <w:rPr>
          <w:rFonts w:ascii="Avenir Book" w:hAnsi="Avenir Book"/>
        </w:rPr>
        <w:t>apply</w:t>
      </w:r>
      <w:r w:rsidRPr="0056369E">
        <w:rPr>
          <w:rFonts w:ascii="Avenir Book" w:hAnsi="Avenir Book"/>
        </w:rPr>
        <w:t xml:space="preserve"> how to use the </w:t>
      </w:r>
      <w:r w:rsidR="008961BB" w:rsidRPr="0056369E">
        <w:rPr>
          <w:rFonts w:ascii="Avenir Book" w:hAnsi="Avenir Book"/>
        </w:rPr>
        <w:t xml:space="preserve">CDC </w:t>
      </w:r>
      <w:r w:rsidRPr="0056369E">
        <w:rPr>
          <w:rFonts w:ascii="Avenir Book" w:hAnsi="Avenir Book"/>
        </w:rPr>
        <w:t xml:space="preserve">MEC and identify higher risk conditions for IUDs. </w:t>
      </w:r>
    </w:p>
    <w:p w14:paraId="604FB3E1" w14:textId="6CB49BF2" w:rsidR="008961BB" w:rsidRPr="0056369E" w:rsidRDefault="008961BB" w:rsidP="00A9074A">
      <w:pPr>
        <w:rPr>
          <w:rFonts w:ascii="Avenir Book" w:hAnsi="Avenir Book"/>
        </w:rPr>
      </w:pPr>
    </w:p>
    <w:p w14:paraId="326F79DA" w14:textId="38C4712E" w:rsidR="008961BB" w:rsidRPr="0056369E" w:rsidRDefault="008961BB" w:rsidP="008961BB">
      <w:pPr>
        <w:rPr>
          <w:rFonts w:ascii="Avenir Book" w:hAnsi="Avenir Book"/>
          <w:b/>
          <w:bCs/>
        </w:rPr>
      </w:pPr>
      <w:r w:rsidRPr="0056369E">
        <w:rPr>
          <w:rFonts w:ascii="Avenir Book" w:hAnsi="Avenir Book"/>
          <w:b/>
          <w:bCs/>
        </w:rPr>
        <w:t xml:space="preserve">Case Study: </w:t>
      </w:r>
      <w:r w:rsidR="00617800" w:rsidRPr="0056369E">
        <w:rPr>
          <w:rFonts w:ascii="Avenir Book" w:hAnsi="Avenir Book"/>
          <w:b/>
          <w:bCs/>
        </w:rPr>
        <w:t>Rita</w:t>
      </w:r>
    </w:p>
    <w:p w14:paraId="6336D37E" w14:textId="38BB8C4E" w:rsidR="00617800" w:rsidRPr="0056369E" w:rsidRDefault="00617800" w:rsidP="008961BB">
      <w:pPr>
        <w:rPr>
          <w:rFonts w:ascii="Avenir Book" w:hAnsi="Avenir Book"/>
        </w:rPr>
      </w:pPr>
      <w:r w:rsidRPr="0056369E">
        <w:rPr>
          <w:rFonts w:ascii="Avenir Book" w:hAnsi="Avenir Book"/>
        </w:rPr>
        <w:t xml:space="preserve">Slides 32-36 uses a case study to compare LNG-52 and LNG-13.5 hormonal IUDs and myths about IUDs. </w:t>
      </w:r>
    </w:p>
    <w:p w14:paraId="67C64D3C" w14:textId="0E026B6C" w:rsidR="008961BB" w:rsidRPr="0056369E" w:rsidRDefault="008961BB" w:rsidP="00A9074A">
      <w:pPr>
        <w:rPr>
          <w:rFonts w:ascii="Avenir Book" w:hAnsi="Avenir Book"/>
        </w:rPr>
      </w:pPr>
    </w:p>
    <w:p w14:paraId="0DDFD4F8" w14:textId="4B33BE61" w:rsidR="00617800" w:rsidRPr="0056369E" w:rsidRDefault="00617800" w:rsidP="00A9074A">
      <w:pPr>
        <w:rPr>
          <w:rFonts w:ascii="Avenir Book" w:hAnsi="Avenir Book"/>
          <w:b/>
          <w:bCs/>
        </w:rPr>
      </w:pPr>
      <w:r w:rsidRPr="0056369E">
        <w:rPr>
          <w:rFonts w:ascii="Avenir Book" w:hAnsi="Avenir Book"/>
          <w:b/>
          <w:bCs/>
        </w:rPr>
        <w:t xml:space="preserve">Case Study: </w:t>
      </w:r>
      <w:r w:rsidR="00A0050D" w:rsidRPr="0056369E">
        <w:rPr>
          <w:rFonts w:ascii="Avenir Book" w:hAnsi="Avenir Book"/>
          <w:b/>
          <w:bCs/>
        </w:rPr>
        <w:t>Pamela</w:t>
      </w:r>
    </w:p>
    <w:p w14:paraId="1B1B6063" w14:textId="6A900C04" w:rsidR="00A0050D" w:rsidRPr="0056369E" w:rsidRDefault="00A0050D" w:rsidP="00A9074A">
      <w:pPr>
        <w:rPr>
          <w:rFonts w:ascii="Avenir Book" w:hAnsi="Avenir Book"/>
        </w:rPr>
      </w:pPr>
      <w:r w:rsidRPr="0056369E">
        <w:rPr>
          <w:rFonts w:ascii="Avenir Book" w:hAnsi="Avenir Book"/>
        </w:rPr>
        <w:t xml:space="preserve">Slides 37-38 uses a case study to discuss IUD insertion and ectopic risk. </w:t>
      </w:r>
    </w:p>
    <w:p w14:paraId="0F9E739E" w14:textId="4CC62EB1" w:rsidR="00A0050D" w:rsidRPr="0056369E" w:rsidRDefault="00A0050D" w:rsidP="00A9074A">
      <w:pPr>
        <w:rPr>
          <w:rFonts w:ascii="Avenir Book" w:hAnsi="Avenir Book"/>
        </w:rPr>
      </w:pPr>
    </w:p>
    <w:p w14:paraId="69FA2247" w14:textId="5FABDEA1" w:rsidR="00A0050D" w:rsidRPr="0056369E" w:rsidRDefault="00A0050D" w:rsidP="00A9074A">
      <w:pPr>
        <w:rPr>
          <w:rFonts w:ascii="Avenir Book" w:hAnsi="Avenir Book"/>
          <w:b/>
          <w:bCs/>
        </w:rPr>
      </w:pPr>
      <w:r w:rsidRPr="0056369E">
        <w:rPr>
          <w:rFonts w:ascii="Avenir Book" w:hAnsi="Avenir Book"/>
          <w:b/>
          <w:bCs/>
        </w:rPr>
        <w:t>Case Study: Natalie</w:t>
      </w:r>
    </w:p>
    <w:p w14:paraId="5F88A1C0" w14:textId="024BCF9A" w:rsidR="00A0050D" w:rsidRPr="0056369E" w:rsidRDefault="00A0050D" w:rsidP="00A9074A">
      <w:pPr>
        <w:rPr>
          <w:rFonts w:ascii="Avenir Book" w:hAnsi="Avenir Book"/>
        </w:rPr>
      </w:pPr>
      <w:r w:rsidRPr="0056369E">
        <w:rPr>
          <w:rFonts w:ascii="Avenir Book" w:hAnsi="Avenir Book"/>
        </w:rPr>
        <w:t>Slides 39-</w:t>
      </w:r>
      <w:r w:rsidR="00172B95" w:rsidRPr="0056369E">
        <w:rPr>
          <w:rFonts w:ascii="Avenir Book" w:hAnsi="Avenir Book"/>
        </w:rPr>
        <w:t>40 uses a case study to discuss Quick Start and the timing of IUD insertion.</w:t>
      </w:r>
    </w:p>
    <w:p w14:paraId="3167F4BA" w14:textId="7C245CBC" w:rsidR="00172B95" w:rsidRPr="0056369E" w:rsidRDefault="00172B95" w:rsidP="00A9074A">
      <w:pPr>
        <w:rPr>
          <w:rFonts w:ascii="Avenir Book" w:hAnsi="Avenir Book"/>
        </w:rPr>
      </w:pPr>
    </w:p>
    <w:p w14:paraId="1A068EFC" w14:textId="0D470FAE" w:rsidR="00172B95" w:rsidRPr="0056369E" w:rsidRDefault="00172B95" w:rsidP="00A9074A">
      <w:pPr>
        <w:rPr>
          <w:rFonts w:ascii="Avenir Book" w:hAnsi="Avenir Book"/>
          <w:b/>
          <w:bCs/>
        </w:rPr>
      </w:pPr>
      <w:r w:rsidRPr="0056369E">
        <w:rPr>
          <w:rFonts w:ascii="Avenir Book" w:hAnsi="Avenir Book"/>
          <w:b/>
          <w:bCs/>
        </w:rPr>
        <w:t>Case Study: Jennifer</w:t>
      </w:r>
    </w:p>
    <w:p w14:paraId="7A31382F" w14:textId="7092F954" w:rsidR="00172B95" w:rsidRPr="0056369E" w:rsidRDefault="00172B95" w:rsidP="00A9074A">
      <w:pPr>
        <w:rPr>
          <w:rFonts w:ascii="Avenir Book" w:hAnsi="Avenir Book"/>
        </w:rPr>
      </w:pPr>
      <w:r w:rsidRPr="0056369E">
        <w:rPr>
          <w:rFonts w:ascii="Avenir Book" w:hAnsi="Avenir Book"/>
        </w:rPr>
        <w:t xml:space="preserve">Slides 41-45 uses a case study to discuss </w:t>
      </w:r>
      <w:r w:rsidR="0056369E" w:rsidRPr="0056369E">
        <w:rPr>
          <w:rFonts w:ascii="Avenir Book" w:hAnsi="Avenir Book"/>
        </w:rPr>
        <w:t>offering the implant.</w:t>
      </w:r>
    </w:p>
    <w:p w14:paraId="5174008E" w14:textId="6A4616EF" w:rsidR="0056369E" w:rsidRPr="0056369E" w:rsidRDefault="0056369E" w:rsidP="00A9074A">
      <w:pPr>
        <w:rPr>
          <w:rFonts w:ascii="Avenir Book" w:hAnsi="Avenir Book"/>
        </w:rPr>
      </w:pPr>
    </w:p>
    <w:p w14:paraId="1DEAB661" w14:textId="2B3869FD" w:rsidR="0056369E" w:rsidRPr="0056369E" w:rsidRDefault="0056369E" w:rsidP="00A9074A">
      <w:pPr>
        <w:rPr>
          <w:rFonts w:ascii="Avenir Book" w:hAnsi="Avenir Book"/>
          <w:b/>
          <w:bCs/>
        </w:rPr>
      </w:pPr>
      <w:r w:rsidRPr="0056369E">
        <w:rPr>
          <w:rFonts w:ascii="Avenir Book" w:hAnsi="Avenir Book"/>
          <w:b/>
          <w:bCs/>
        </w:rPr>
        <w:t>Implant Insertion and Removal</w:t>
      </w:r>
    </w:p>
    <w:p w14:paraId="773BDF86" w14:textId="0F8A67C4" w:rsidR="0056369E" w:rsidRPr="0056369E" w:rsidRDefault="0056369E" w:rsidP="00A9074A">
      <w:pPr>
        <w:rPr>
          <w:rFonts w:ascii="Avenir Book" w:hAnsi="Avenir Book"/>
        </w:rPr>
      </w:pPr>
      <w:r w:rsidRPr="0056369E">
        <w:rPr>
          <w:rFonts w:ascii="Avenir Book" w:hAnsi="Avenir Book"/>
        </w:rPr>
        <w:t xml:space="preserve">Slides 46-49 explain how to insert and remove the implant and some common challenges. </w:t>
      </w:r>
    </w:p>
    <w:p w14:paraId="2502187F" w14:textId="5C727D34" w:rsidR="00615B3D" w:rsidRPr="0056369E" w:rsidRDefault="00615B3D" w:rsidP="00A9074A">
      <w:pPr>
        <w:rPr>
          <w:rFonts w:ascii="Avenir Book" w:hAnsi="Avenir Book"/>
        </w:rPr>
      </w:pPr>
    </w:p>
    <w:p w14:paraId="2F3A2628" w14:textId="36B237C5" w:rsidR="00615B3D" w:rsidRPr="0056369E" w:rsidRDefault="0056369E" w:rsidP="00A9074A">
      <w:pPr>
        <w:rPr>
          <w:rFonts w:ascii="Avenir Book" w:hAnsi="Avenir Book"/>
          <w:b/>
          <w:bCs/>
        </w:rPr>
      </w:pPr>
      <w:r w:rsidRPr="0056369E">
        <w:rPr>
          <w:rFonts w:ascii="Avenir Book" w:hAnsi="Avenir Book"/>
          <w:b/>
          <w:bCs/>
        </w:rPr>
        <w:t>IUD Insertion and Removal</w:t>
      </w:r>
    </w:p>
    <w:p w14:paraId="6E1243A0" w14:textId="38A2FC63" w:rsidR="0056369E" w:rsidRPr="0056369E" w:rsidRDefault="0056369E" w:rsidP="00A9074A">
      <w:pPr>
        <w:rPr>
          <w:rFonts w:ascii="Avenir Book" w:hAnsi="Avenir Book"/>
        </w:rPr>
      </w:pPr>
      <w:r w:rsidRPr="0056369E">
        <w:rPr>
          <w:rFonts w:ascii="Avenir Book" w:hAnsi="Avenir Book"/>
        </w:rPr>
        <w:t xml:space="preserve">Slides 50-59 discuss how to insert and remove the IUD, common challenges, comfort measures for patients, and options for self-removal. </w:t>
      </w:r>
    </w:p>
    <w:p w14:paraId="5574C4C3" w14:textId="7BAD5942" w:rsidR="003E33DE" w:rsidRPr="0056369E" w:rsidRDefault="003E33DE" w:rsidP="00A9074A">
      <w:pPr>
        <w:rPr>
          <w:rFonts w:ascii="Avenir Book" w:hAnsi="Avenir Book"/>
        </w:rPr>
      </w:pPr>
    </w:p>
    <w:p w14:paraId="25E2D75C" w14:textId="51306112" w:rsidR="0056369E" w:rsidRPr="0056369E" w:rsidRDefault="0056369E" w:rsidP="00A9074A">
      <w:pPr>
        <w:rPr>
          <w:rFonts w:ascii="Avenir Book" w:hAnsi="Avenir Book"/>
          <w:b/>
          <w:bCs/>
        </w:rPr>
      </w:pPr>
      <w:r w:rsidRPr="0056369E">
        <w:rPr>
          <w:rFonts w:ascii="Avenir Book" w:hAnsi="Avenir Book"/>
          <w:b/>
          <w:bCs/>
        </w:rPr>
        <w:t>Didactic Wrap Up</w:t>
      </w:r>
    </w:p>
    <w:p w14:paraId="4808D537" w14:textId="36DC4CDD" w:rsidR="0056369E" w:rsidRPr="0056369E" w:rsidRDefault="0056369E" w:rsidP="00A9074A">
      <w:pPr>
        <w:rPr>
          <w:rFonts w:ascii="Avenir Book" w:hAnsi="Avenir Book"/>
        </w:rPr>
      </w:pPr>
      <w:r w:rsidRPr="0056369E">
        <w:rPr>
          <w:rFonts w:ascii="Avenir Book" w:hAnsi="Avenir Book"/>
        </w:rPr>
        <w:t xml:space="preserve">Slide 60 offers key take home messages for participants and Slide 61 highlights key resources from the RHAP website and outside of RHAP for providing LARC care. We suggest using this time to ask for any final questions before transitioning into small groups to work through one or more of the case studies. You may also introduce slides from the LARC: Advanced slide deck to discuss more complex cases of IUD and implant insertions and removals. </w:t>
      </w:r>
    </w:p>
    <w:sectPr w:rsidR="0056369E" w:rsidRPr="0056369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C4E69" w14:textId="77777777" w:rsidR="002C3270" w:rsidRDefault="002C3270" w:rsidP="003D7395">
      <w:r>
        <w:separator/>
      </w:r>
    </w:p>
  </w:endnote>
  <w:endnote w:type="continuationSeparator" w:id="0">
    <w:p w14:paraId="20C0BF66" w14:textId="77777777" w:rsidR="002C3270" w:rsidRDefault="002C3270" w:rsidP="003D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34D7" w14:textId="1E9B8838" w:rsidR="003D7395" w:rsidRDefault="003D7395" w:rsidP="003D7395">
    <w:pPr>
      <w:pStyle w:val="NormalWeb"/>
      <w:spacing w:before="0" w:beforeAutospacing="0" w:after="0" w:afterAutospacing="0"/>
    </w:pPr>
    <w:r>
      <w:rPr>
        <w:noProof/>
        <w:bdr w:val="none" w:sz="0" w:space="0" w:color="auto" w:frame="1"/>
      </w:rPr>
      <w:drawing>
        <wp:anchor distT="0" distB="0" distL="114300" distR="114300" simplePos="0" relativeHeight="251658240" behindDoc="1" locked="0" layoutInCell="1" allowOverlap="1" wp14:anchorId="2CFF8979" wp14:editId="53717F4A">
          <wp:simplePos x="0" y="0"/>
          <wp:positionH relativeFrom="column">
            <wp:posOffset>4795398</wp:posOffset>
          </wp:positionH>
          <wp:positionV relativeFrom="paragraph">
            <wp:posOffset>-153670</wp:posOffset>
          </wp:positionV>
          <wp:extent cx="1139190" cy="485775"/>
          <wp:effectExtent l="0" t="0" r="3810" b="0"/>
          <wp:wrapTight wrapText="bothSides">
            <wp:wrapPolygon edited="0">
              <wp:start x="3371" y="0"/>
              <wp:lineTo x="1926" y="565"/>
              <wp:lineTo x="0" y="5647"/>
              <wp:lineTo x="0" y="12988"/>
              <wp:lineTo x="482" y="18071"/>
              <wp:lineTo x="2890" y="20894"/>
              <wp:lineTo x="3371" y="20894"/>
              <wp:lineTo x="5779" y="20894"/>
              <wp:lineTo x="12040" y="20894"/>
              <wp:lineTo x="16615" y="19765"/>
              <wp:lineTo x="15893" y="9035"/>
              <wp:lineTo x="21431" y="4518"/>
              <wp:lineTo x="21431" y="0"/>
              <wp:lineTo x="5779" y="0"/>
              <wp:lineTo x="337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venir" w:hAnsi="Avenir"/>
        <w:color w:val="000000"/>
        <w:sz w:val="18"/>
        <w:szCs w:val="18"/>
      </w:rPr>
      <w:t>February 2022 /</w:t>
    </w:r>
    <w:hyperlink r:id="rId2" w:history="1">
      <w:r>
        <w:rPr>
          <w:rStyle w:val="Hyperlink"/>
          <w:rFonts w:ascii="Avenir" w:hAnsi="Avenir"/>
          <w:color w:val="000000"/>
          <w:sz w:val="18"/>
          <w:szCs w:val="18"/>
        </w:rPr>
        <w:t xml:space="preserve"> </w:t>
      </w:r>
      <w:r>
        <w:rPr>
          <w:rStyle w:val="Hyperlink"/>
          <w:rFonts w:ascii="Avenir" w:hAnsi="Avenir"/>
          <w:color w:val="0563C1"/>
          <w:sz w:val="18"/>
          <w:szCs w:val="18"/>
        </w:rPr>
        <w:t>www.reproductiveaccess.org</w:t>
      </w:r>
    </w:hyperlink>
    <w:r>
      <w:rPr>
        <w:rFonts w:ascii="Avenir" w:hAnsi="Avenir"/>
        <w:color w:val="000000"/>
        <w:sz w:val="18"/>
        <w:szCs w:val="18"/>
      </w:rPr>
      <w:t>                                                                   </w:t>
    </w:r>
    <w:r>
      <w:rPr>
        <w:bdr w:val="none" w:sz="0" w:space="0" w:color="auto" w:frame="1"/>
      </w:rPr>
      <w:fldChar w:fldCharType="begin"/>
    </w:r>
    <w:r>
      <w:rPr>
        <w:bdr w:val="none" w:sz="0" w:space="0" w:color="auto" w:frame="1"/>
      </w:rPr>
      <w:instrText xml:space="preserve"> INCLUDEPICTURE "https://lh6.googleusercontent.com/1U72b1npDgJFXPaB_I42s_Ex4T_y8miSiFB9V0wIMXKKt88y65R6-b0JeFjlR-fn9fNmDPZgRVCDJFY5qV_7es3f-z6mq_0S2P1AbE--68_bf2nAMSS8I1j8_ce-sm_rq_5_wDa6" \* MERGEFORMATINET </w:instrText>
    </w:r>
    <w:r w:rsidR="002C3270">
      <w:rPr>
        <w:bdr w:val="none" w:sz="0" w:space="0" w:color="auto" w:frame="1"/>
      </w:rPr>
      <w:fldChar w:fldCharType="separate"/>
    </w:r>
    <w:r>
      <w:rPr>
        <w:bdr w:val="none" w:sz="0" w:space="0" w:color="auto" w:frame="1"/>
      </w:rPr>
      <w:fldChar w:fldCharType="end"/>
    </w:r>
  </w:p>
  <w:p w14:paraId="6B440AD9" w14:textId="77777777" w:rsidR="003D7395" w:rsidRDefault="003D7395" w:rsidP="003D7395"/>
  <w:p w14:paraId="7C82F194" w14:textId="77777777" w:rsidR="003D7395" w:rsidRDefault="003D7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C5B4" w14:textId="77777777" w:rsidR="002C3270" w:rsidRDefault="002C3270" w:rsidP="003D7395">
      <w:r>
        <w:separator/>
      </w:r>
    </w:p>
  </w:footnote>
  <w:footnote w:type="continuationSeparator" w:id="0">
    <w:p w14:paraId="479163B3" w14:textId="77777777" w:rsidR="002C3270" w:rsidRDefault="002C3270" w:rsidP="003D7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522F7"/>
    <w:multiLevelType w:val="hybridMultilevel"/>
    <w:tmpl w:val="1F80B504"/>
    <w:lvl w:ilvl="0" w:tplc="D0804C16">
      <w:start w:val="1"/>
      <w:numFmt w:val="bullet"/>
      <w:lvlText w:val="•"/>
      <w:lvlJc w:val="left"/>
      <w:pPr>
        <w:tabs>
          <w:tab w:val="num" w:pos="720"/>
        </w:tabs>
        <w:ind w:left="720" w:hanging="360"/>
      </w:pPr>
      <w:rPr>
        <w:rFonts w:ascii="Arial" w:hAnsi="Arial" w:hint="default"/>
      </w:rPr>
    </w:lvl>
    <w:lvl w:ilvl="1" w:tplc="4450FEC0" w:tentative="1">
      <w:start w:val="1"/>
      <w:numFmt w:val="bullet"/>
      <w:lvlText w:val="•"/>
      <w:lvlJc w:val="left"/>
      <w:pPr>
        <w:tabs>
          <w:tab w:val="num" w:pos="1440"/>
        </w:tabs>
        <w:ind w:left="1440" w:hanging="360"/>
      </w:pPr>
      <w:rPr>
        <w:rFonts w:ascii="Arial" w:hAnsi="Arial" w:hint="default"/>
      </w:rPr>
    </w:lvl>
    <w:lvl w:ilvl="2" w:tplc="AC5603A0" w:tentative="1">
      <w:start w:val="1"/>
      <w:numFmt w:val="bullet"/>
      <w:lvlText w:val="•"/>
      <w:lvlJc w:val="left"/>
      <w:pPr>
        <w:tabs>
          <w:tab w:val="num" w:pos="2160"/>
        </w:tabs>
        <w:ind w:left="2160" w:hanging="360"/>
      </w:pPr>
      <w:rPr>
        <w:rFonts w:ascii="Arial" w:hAnsi="Arial" w:hint="default"/>
      </w:rPr>
    </w:lvl>
    <w:lvl w:ilvl="3" w:tplc="69160340" w:tentative="1">
      <w:start w:val="1"/>
      <w:numFmt w:val="bullet"/>
      <w:lvlText w:val="•"/>
      <w:lvlJc w:val="left"/>
      <w:pPr>
        <w:tabs>
          <w:tab w:val="num" w:pos="2880"/>
        </w:tabs>
        <w:ind w:left="2880" w:hanging="360"/>
      </w:pPr>
      <w:rPr>
        <w:rFonts w:ascii="Arial" w:hAnsi="Arial" w:hint="default"/>
      </w:rPr>
    </w:lvl>
    <w:lvl w:ilvl="4" w:tplc="F3C463B8" w:tentative="1">
      <w:start w:val="1"/>
      <w:numFmt w:val="bullet"/>
      <w:lvlText w:val="•"/>
      <w:lvlJc w:val="left"/>
      <w:pPr>
        <w:tabs>
          <w:tab w:val="num" w:pos="3600"/>
        </w:tabs>
        <w:ind w:left="3600" w:hanging="360"/>
      </w:pPr>
      <w:rPr>
        <w:rFonts w:ascii="Arial" w:hAnsi="Arial" w:hint="default"/>
      </w:rPr>
    </w:lvl>
    <w:lvl w:ilvl="5" w:tplc="F3F008D8" w:tentative="1">
      <w:start w:val="1"/>
      <w:numFmt w:val="bullet"/>
      <w:lvlText w:val="•"/>
      <w:lvlJc w:val="left"/>
      <w:pPr>
        <w:tabs>
          <w:tab w:val="num" w:pos="4320"/>
        </w:tabs>
        <w:ind w:left="4320" w:hanging="360"/>
      </w:pPr>
      <w:rPr>
        <w:rFonts w:ascii="Arial" w:hAnsi="Arial" w:hint="default"/>
      </w:rPr>
    </w:lvl>
    <w:lvl w:ilvl="6" w:tplc="B7CEE4B2" w:tentative="1">
      <w:start w:val="1"/>
      <w:numFmt w:val="bullet"/>
      <w:lvlText w:val="•"/>
      <w:lvlJc w:val="left"/>
      <w:pPr>
        <w:tabs>
          <w:tab w:val="num" w:pos="5040"/>
        </w:tabs>
        <w:ind w:left="5040" w:hanging="360"/>
      </w:pPr>
      <w:rPr>
        <w:rFonts w:ascii="Arial" w:hAnsi="Arial" w:hint="default"/>
      </w:rPr>
    </w:lvl>
    <w:lvl w:ilvl="7" w:tplc="39EC6C72" w:tentative="1">
      <w:start w:val="1"/>
      <w:numFmt w:val="bullet"/>
      <w:lvlText w:val="•"/>
      <w:lvlJc w:val="left"/>
      <w:pPr>
        <w:tabs>
          <w:tab w:val="num" w:pos="5760"/>
        </w:tabs>
        <w:ind w:left="5760" w:hanging="360"/>
      </w:pPr>
      <w:rPr>
        <w:rFonts w:ascii="Arial" w:hAnsi="Arial" w:hint="default"/>
      </w:rPr>
    </w:lvl>
    <w:lvl w:ilvl="8" w:tplc="D8444E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B302740"/>
    <w:multiLevelType w:val="hybridMultilevel"/>
    <w:tmpl w:val="35182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2426794">
    <w:abstractNumId w:val="0"/>
  </w:num>
  <w:num w:numId="2" w16cid:durableId="2024091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3D"/>
    <w:rsid w:val="00045A74"/>
    <w:rsid w:val="00172B95"/>
    <w:rsid w:val="002C3270"/>
    <w:rsid w:val="00383994"/>
    <w:rsid w:val="00393ED3"/>
    <w:rsid w:val="003D7395"/>
    <w:rsid w:val="003E33DE"/>
    <w:rsid w:val="0056369E"/>
    <w:rsid w:val="005B033D"/>
    <w:rsid w:val="00615B3D"/>
    <w:rsid w:val="00617800"/>
    <w:rsid w:val="00734377"/>
    <w:rsid w:val="007D2B62"/>
    <w:rsid w:val="008961BB"/>
    <w:rsid w:val="00A0050D"/>
    <w:rsid w:val="00A17B9F"/>
    <w:rsid w:val="00A9074A"/>
    <w:rsid w:val="00CB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DB639"/>
  <w15:chartTrackingRefBased/>
  <w15:docId w15:val="{49A135C1-A33D-5A45-9478-DC0DAA44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74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A74"/>
    <w:rPr>
      <w:color w:val="0563C1" w:themeColor="hyperlink"/>
      <w:u w:val="single"/>
    </w:rPr>
  </w:style>
  <w:style w:type="character" w:styleId="UnresolvedMention">
    <w:name w:val="Unresolved Mention"/>
    <w:basedOn w:val="DefaultParagraphFont"/>
    <w:uiPriority w:val="99"/>
    <w:semiHidden/>
    <w:unhideWhenUsed/>
    <w:rsid w:val="00045A74"/>
    <w:rPr>
      <w:color w:val="605E5C"/>
      <w:shd w:val="clear" w:color="auto" w:fill="E1DFDD"/>
    </w:rPr>
  </w:style>
  <w:style w:type="paragraph" w:styleId="NormalWeb">
    <w:name w:val="Normal (Web)"/>
    <w:basedOn w:val="Normal"/>
    <w:uiPriority w:val="99"/>
    <w:semiHidden/>
    <w:unhideWhenUsed/>
    <w:rsid w:val="00A9074A"/>
    <w:pPr>
      <w:spacing w:before="100" w:beforeAutospacing="1" w:after="100" w:afterAutospacing="1"/>
    </w:pPr>
  </w:style>
  <w:style w:type="character" w:styleId="FollowedHyperlink">
    <w:name w:val="FollowedHyperlink"/>
    <w:basedOn w:val="DefaultParagraphFont"/>
    <w:uiPriority w:val="99"/>
    <w:semiHidden/>
    <w:unhideWhenUsed/>
    <w:rsid w:val="00A9074A"/>
    <w:rPr>
      <w:color w:val="954F72" w:themeColor="followedHyperlink"/>
      <w:u w:val="single"/>
    </w:rPr>
  </w:style>
  <w:style w:type="paragraph" w:styleId="ListParagraph">
    <w:name w:val="List Paragraph"/>
    <w:basedOn w:val="Normal"/>
    <w:uiPriority w:val="34"/>
    <w:qFormat/>
    <w:rsid w:val="00A9074A"/>
    <w:pPr>
      <w:ind w:left="720"/>
      <w:contextualSpacing/>
    </w:pPr>
  </w:style>
  <w:style w:type="paragraph" w:styleId="Header">
    <w:name w:val="header"/>
    <w:basedOn w:val="Normal"/>
    <w:link w:val="HeaderChar"/>
    <w:uiPriority w:val="99"/>
    <w:unhideWhenUsed/>
    <w:rsid w:val="003D7395"/>
    <w:pPr>
      <w:tabs>
        <w:tab w:val="center" w:pos="4680"/>
        <w:tab w:val="right" w:pos="9360"/>
      </w:tabs>
    </w:pPr>
  </w:style>
  <w:style w:type="character" w:customStyle="1" w:styleId="HeaderChar">
    <w:name w:val="Header Char"/>
    <w:basedOn w:val="DefaultParagraphFont"/>
    <w:link w:val="Header"/>
    <w:uiPriority w:val="99"/>
    <w:rsid w:val="003D7395"/>
    <w:rPr>
      <w:rFonts w:ascii="Times New Roman" w:eastAsia="Times New Roman" w:hAnsi="Times New Roman" w:cs="Times New Roman"/>
    </w:rPr>
  </w:style>
  <w:style w:type="paragraph" w:styleId="Footer">
    <w:name w:val="footer"/>
    <w:basedOn w:val="Normal"/>
    <w:link w:val="FooterChar"/>
    <w:uiPriority w:val="99"/>
    <w:unhideWhenUsed/>
    <w:rsid w:val="003D7395"/>
    <w:pPr>
      <w:tabs>
        <w:tab w:val="center" w:pos="4680"/>
        <w:tab w:val="right" w:pos="9360"/>
      </w:tabs>
    </w:pPr>
  </w:style>
  <w:style w:type="character" w:customStyle="1" w:styleId="FooterChar">
    <w:name w:val="Footer Char"/>
    <w:basedOn w:val="DefaultParagraphFont"/>
    <w:link w:val="Footer"/>
    <w:uiPriority w:val="99"/>
    <w:rsid w:val="003D739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39175">
      <w:bodyDiv w:val="1"/>
      <w:marLeft w:val="0"/>
      <w:marRight w:val="0"/>
      <w:marTop w:val="0"/>
      <w:marBottom w:val="0"/>
      <w:divBdr>
        <w:top w:val="none" w:sz="0" w:space="0" w:color="auto"/>
        <w:left w:val="none" w:sz="0" w:space="0" w:color="auto"/>
        <w:bottom w:val="none" w:sz="0" w:space="0" w:color="auto"/>
        <w:right w:val="none" w:sz="0" w:space="0" w:color="auto"/>
      </w:divBdr>
    </w:div>
    <w:div w:id="1079054814">
      <w:bodyDiv w:val="1"/>
      <w:marLeft w:val="0"/>
      <w:marRight w:val="0"/>
      <w:marTop w:val="0"/>
      <w:marBottom w:val="0"/>
      <w:divBdr>
        <w:top w:val="none" w:sz="0" w:space="0" w:color="auto"/>
        <w:left w:val="none" w:sz="0" w:space="0" w:color="auto"/>
        <w:bottom w:val="none" w:sz="0" w:space="0" w:color="auto"/>
        <w:right w:val="none" w:sz="0" w:space="0" w:color="auto"/>
      </w:divBdr>
      <w:divsChild>
        <w:div w:id="2087023997">
          <w:marLeft w:val="389"/>
          <w:marRight w:val="0"/>
          <w:marTop w:val="100"/>
          <w:marBottom w:val="0"/>
          <w:divBdr>
            <w:top w:val="none" w:sz="0" w:space="0" w:color="auto"/>
            <w:left w:val="none" w:sz="0" w:space="0" w:color="auto"/>
            <w:bottom w:val="none" w:sz="0" w:space="0" w:color="auto"/>
            <w:right w:val="none" w:sz="0" w:space="0" w:color="auto"/>
          </w:divBdr>
        </w:div>
        <w:div w:id="952784078">
          <w:marLeft w:val="389"/>
          <w:marRight w:val="0"/>
          <w:marTop w:val="0"/>
          <w:marBottom w:val="0"/>
          <w:divBdr>
            <w:top w:val="none" w:sz="0" w:space="0" w:color="auto"/>
            <w:left w:val="none" w:sz="0" w:space="0" w:color="auto"/>
            <w:bottom w:val="none" w:sz="0" w:space="0" w:color="auto"/>
            <w:right w:val="none" w:sz="0" w:space="0" w:color="auto"/>
          </w:divBdr>
        </w:div>
        <w:div w:id="2100788982">
          <w:marLeft w:val="389"/>
          <w:marRight w:val="0"/>
          <w:marTop w:val="0"/>
          <w:marBottom w:val="0"/>
          <w:divBdr>
            <w:top w:val="none" w:sz="0" w:space="0" w:color="auto"/>
            <w:left w:val="none" w:sz="0" w:space="0" w:color="auto"/>
            <w:bottom w:val="none" w:sz="0" w:space="0" w:color="auto"/>
            <w:right w:val="none" w:sz="0" w:space="0" w:color="auto"/>
          </w:divBdr>
        </w:div>
        <w:div w:id="450976195">
          <w:marLeft w:val="389"/>
          <w:marRight w:val="0"/>
          <w:marTop w:val="0"/>
          <w:marBottom w:val="0"/>
          <w:divBdr>
            <w:top w:val="none" w:sz="0" w:space="0" w:color="auto"/>
            <w:left w:val="none" w:sz="0" w:space="0" w:color="auto"/>
            <w:bottom w:val="none" w:sz="0" w:space="0" w:color="auto"/>
            <w:right w:val="none" w:sz="0" w:space="0" w:color="auto"/>
          </w:divBdr>
        </w:div>
        <w:div w:id="321853485">
          <w:marLeft w:val="389"/>
          <w:marRight w:val="0"/>
          <w:marTop w:val="0"/>
          <w:marBottom w:val="0"/>
          <w:divBdr>
            <w:top w:val="none" w:sz="0" w:space="0" w:color="auto"/>
            <w:left w:val="none" w:sz="0" w:space="0" w:color="auto"/>
            <w:bottom w:val="none" w:sz="0" w:space="0" w:color="auto"/>
            <w:right w:val="none" w:sz="0" w:space="0" w:color="auto"/>
          </w:divBdr>
        </w:div>
        <w:div w:id="1481993122">
          <w:marLeft w:val="389"/>
          <w:marRight w:val="0"/>
          <w:marTop w:val="0"/>
          <w:marBottom w:val="0"/>
          <w:divBdr>
            <w:top w:val="none" w:sz="0" w:space="0" w:color="auto"/>
            <w:left w:val="none" w:sz="0" w:space="0" w:color="auto"/>
            <w:bottom w:val="none" w:sz="0" w:space="0" w:color="auto"/>
            <w:right w:val="none" w:sz="0" w:space="0" w:color="auto"/>
          </w:divBdr>
        </w:div>
      </w:divsChild>
    </w:div>
    <w:div w:id="1259679919">
      <w:bodyDiv w:val="1"/>
      <w:marLeft w:val="0"/>
      <w:marRight w:val="0"/>
      <w:marTop w:val="0"/>
      <w:marBottom w:val="0"/>
      <w:divBdr>
        <w:top w:val="none" w:sz="0" w:space="0" w:color="auto"/>
        <w:left w:val="none" w:sz="0" w:space="0" w:color="auto"/>
        <w:bottom w:val="none" w:sz="0" w:space="0" w:color="auto"/>
        <w:right w:val="none" w:sz="0" w:space="0" w:color="auto"/>
      </w:divBdr>
    </w:div>
    <w:div w:id="214160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productiveaccess.org/resource/medical-eligibility-initiating-contraception/" TargetMode="External"/><Relationship Id="rId13" Type="http://schemas.openxmlformats.org/officeDocument/2006/relationships/hyperlink" Target="https://www.reproductiveaccess.org/resource/quick-start-algorith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twork@reproductiveaccess.org" TargetMode="External"/><Relationship Id="rId12" Type="http://schemas.openxmlformats.org/officeDocument/2006/relationships/hyperlink" Target="https://www.reproductiveaccess.org/resource/iud-self-remov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eproductiveaccess.org/resource/emergency-contraception-ec-righ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productiveaccess.org/resource/iud-facts/" TargetMode="External"/><Relationship Id="rId5" Type="http://schemas.openxmlformats.org/officeDocument/2006/relationships/footnotes" Target="footnotes.xml"/><Relationship Id="rId15" Type="http://schemas.openxmlformats.org/officeDocument/2006/relationships/hyperlink" Target="https://www.reproductiveaccess.org/resource/progestin-implant/" TargetMode="External"/><Relationship Id="rId10" Type="http://schemas.openxmlformats.org/officeDocument/2006/relationships/hyperlink" Target="https://www.reproductiveaccess.org/resource/iud-fac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whn.org/wp-content/uploads/2017/02/LARCStatementofPrinciples.pdf" TargetMode="External"/><Relationship Id="rId14" Type="http://schemas.openxmlformats.org/officeDocument/2006/relationships/hyperlink" Target="https://www.reproductiveaccess.org/resource/quick-start-algorith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productiveaccess.org"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brandy@reproductiveaccess.org</cp:lastModifiedBy>
  <cp:revision>7</cp:revision>
  <dcterms:created xsi:type="dcterms:W3CDTF">2022-02-03T17:38:00Z</dcterms:created>
  <dcterms:modified xsi:type="dcterms:W3CDTF">2022-04-25T18:06:00Z</dcterms:modified>
</cp:coreProperties>
</file>