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6FCE4EBF" w14:textId="77777777" w:rsidR="00AA770A" w:rsidRDefault="00000000">
      <w:pPr>
        <w:widowControl w:val="0"/>
        <w:pBdr>
          <w:top w:val="nil"/>
          <w:left w:val="nil"/>
          <w:bottom w:val="nil"/>
          <w:right w:val="nil"/>
          <w:between w:val="nil"/>
        </w:pBdr>
        <w:jc w:val="center"/>
        <w:rPr>
          <w:color w:val="000000"/>
        </w:rPr>
      </w:pPr>
      <w:r>
        <w:rPr>
          <w:rFonts w:ascii="Avenir" w:eastAsia="Avenir" w:hAnsi="Avenir" w:cs="Avenir"/>
          <w:b/>
          <w:color w:val="000000"/>
          <w:sz w:val="28"/>
          <w:szCs w:val="28"/>
        </w:rPr>
        <w:t>Telehealth Care for Medication Abortion Protocol</w:t>
      </w:r>
    </w:p>
    <w:p w14:paraId="58AFF523" w14:textId="77777777" w:rsidR="00AA770A" w:rsidRDefault="00AA770A">
      <w:pPr>
        <w:widowControl w:val="0"/>
        <w:pBdr>
          <w:top w:val="nil"/>
          <w:left w:val="nil"/>
          <w:bottom w:val="nil"/>
          <w:right w:val="nil"/>
          <w:between w:val="nil"/>
        </w:pBdr>
        <w:jc w:val="center"/>
        <w:rPr>
          <w:color w:val="000000"/>
        </w:rPr>
      </w:pPr>
    </w:p>
    <w:p w14:paraId="715C3460" w14:textId="77777777" w:rsidR="00AA770A" w:rsidRDefault="00000000">
      <w:pPr>
        <w:widowControl w:val="0"/>
        <w:pBdr>
          <w:top w:val="nil"/>
          <w:left w:val="nil"/>
          <w:bottom w:val="nil"/>
          <w:right w:val="nil"/>
          <w:between w:val="nil"/>
        </w:pBdr>
        <w:rPr>
          <w:rFonts w:ascii="Avenir" w:eastAsia="Avenir" w:hAnsi="Avenir" w:cs="Avenir"/>
          <w:b/>
          <w:color w:val="000000"/>
        </w:rPr>
      </w:pPr>
      <w:r>
        <w:rPr>
          <w:rFonts w:ascii="Avenir" w:eastAsia="Avenir" w:hAnsi="Avenir" w:cs="Avenir"/>
          <w:b/>
          <w:color w:val="000000"/>
        </w:rPr>
        <w:t>Overview (of the evidence, states may have tighter restrictions)</w:t>
      </w:r>
    </w:p>
    <w:p w14:paraId="636C8839" w14:textId="77777777" w:rsidR="00AA770A" w:rsidRDefault="00000000">
      <w:pPr>
        <w:widowControl w:val="0"/>
        <w:numPr>
          <w:ilvl w:val="0"/>
          <w:numId w:val="2"/>
        </w:numPr>
        <w:rPr>
          <w:rFonts w:ascii="Avenir" w:eastAsia="Avenir" w:hAnsi="Avenir" w:cs="Avenir"/>
          <w:sz w:val="22"/>
          <w:szCs w:val="22"/>
        </w:rPr>
      </w:pPr>
      <w:r>
        <w:rPr>
          <w:rFonts w:ascii="Avenir" w:eastAsia="Avenir" w:hAnsi="Avenir" w:cs="Avenir"/>
          <w:sz w:val="22"/>
          <w:szCs w:val="22"/>
        </w:rPr>
        <w:t>The maximum gestational age is 77 days.</w:t>
      </w:r>
      <w:r>
        <w:rPr>
          <w:rFonts w:ascii="Avenir" w:eastAsia="Avenir" w:hAnsi="Avenir" w:cs="Avenir"/>
          <w:sz w:val="22"/>
          <w:szCs w:val="22"/>
          <w:vertAlign w:val="superscript"/>
        </w:rPr>
        <w:footnoteReference w:id="1"/>
      </w:r>
      <w:r>
        <w:rPr>
          <w:rFonts w:ascii="Avenir" w:eastAsia="Avenir" w:hAnsi="Avenir" w:cs="Avenir"/>
          <w:sz w:val="22"/>
          <w:szCs w:val="22"/>
        </w:rPr>
        <w:t xml:space="preserve"> </w:t>
      </w:r>
    </w:p>
    <w:p w14:paraId="55B2D40A" w14:textId="77777777" w:rsidR="00AA770A" w:rsidRDefault="00000000">
      <w:pPr>
        <w:widowControl w:val="0"/>
        <w:numPr>
          <w:ilvl w:val="0"/>
          <w:numId w:val="2"/>
        </w:numPr>
        <w:rPr>
          <w:rFonts w:ascii="Avenir" w:eastAsia="Avenir" w:hAnsi="Avenir" w:cs="Avenir"/>
          <w:sz w:val="22"/>
          <w:szCs w:val="22"/>
        </w:rPr>
      </w:pPr>
      <w:r>
        <w:rPr>
          <w:rFonts w:ascii="Avenir" w:eastAsia="Avenir" w:hAnsi="Avenir" w:cs="Avenir"/>
          <w:sz w:val="22"/>
          <w:szCs w:val="22"/>
        </w:rPr>
        <w:t>The mifepristone dosage is 200 milligrams (one pill). The FDA label allows clinicians and certified pharmacies to dispense mifepristone in-person or by mail. Verbal consent can be documented by the clinician in the EMR.</w:t>
      </w:r>
    </w:p>
    <w:p w14:paraId="487D5B99" w14:textId="77777777" w:rsidR="00AA770A" w:rsidRDefault="00000000">
      <w:pPr>
        <w:widowControl w:val="0"/>
        <w:numPr>
          <w:ilvl w:val="0"/>
          <w:numId w:val="2"/>
        </w:numPr>
        <w:rPr>
          <w:rFonts w:ascii="Avenir" w:eastAsia="Avenir" w:hAnsi="Avenir" w:cs="Avenir"/>
          <w:sz w:val="22"/>
          <w:szCs w:val="22"/>
        </w:rPr>
      </w:pPr>
      <w:r>
        <w:rPr>
          <w:rFonts w:ascii="Avenir" w:eastAsia="Avenir" w:hAnsi="Avenir" w:cs="Avenir"/>
          <w:sz w:val="22"/>
          <w:szCs w:val="22"/>
        </w:rPr>
        <w:t xml:space="preserve">Misoprostol (800 mcg) can be taken buccally, sublingually, or vaginally. Patients should insert misoprostol 24-48 hours after taking mifepristone. For patients with gestational age of 9 to 11 weeks, a second dose of misoprostol should be given for use 4 hours after the first. </w:t>
      </w:r>
    </w:p>
    <w:p w14:paraId="0C2FDFDE" w14:textId="77777777" w:rsidR="00AA770A" w:rsidRDefault="00000000">
      <w:pPr>
        <w:widowControl w:val="0"/>
        <w:numPr>
          <w:ilvl w:val="0"/>
          <w:numId w:val="2"/>
        </w:numPr>
        <w:rPr>
          <w:rFonts w:ascii="Avenir" w:eastAsia="Avenir" w:hAnsi="Avenir" w:cs="Avenir"/>
          <w:sz w:val="22"/>
          <w:szCs w:val="22"/>
        </w:rPr>
      </w:pPr>
      <w:r>
        <w:rPr>
          <w:rFonts w:ascii="Avenir" w:eastAsia="Avenir" w:hAnsi="Avenir" w:cs="Avenir"/>
          <w:sz w:val="22"/>
          <w:szCs w:val="22"/>
        </w:rPr>
        <w:t xml:space="preserve">Patients in hostile environments should consider using misoprostol buccally or sublingually to avoid having pill fragments in the vagina in the rare instance that they need an in-person exam. </w:t>
      </w:r>
    </w:p>
    <w:p w14:paraId="23ABEE9D" w14:textId="77777777" w:rsidR="00AA770A" w:rsidRDefault="00000000">
      <w:pPr>
        <w:widowControl w:val="0"/>
        <w:numPr>
          <w:ilvl w:val="0"/>
          <w:numId w:val="2"/>
        </w:numPr>
        <w:rPr>
          <w:rFonts w:ascii="Avenir" w:eastAsia="Avenir" w:hAnsi="Avenir" w:cs="Avenir"/>
          <w:sz w:val="22"/>
          <w:szCs w:val="22"/>
        </w:rPr>
      </w:pPr>
      <w:r>
        <w:rPr>
          <w:rFonts w:ascii="Avenir" w:eastAsia="Avenir" w:hAnsi="Avenir" w:cs="Avenir"/>
          <w:sz w:val="22"/>
          <w:szCs w:val="22"/>
        </w:rPr>
        <w:t>Follow-up is optional. Patients should have instructions for contacting a clinician for questions/concerns. The urine pregnancy test to assure completion is done after 4 weeks and a communication from the patient that it was negative is ideal.</w:t>
      </w:r>
    </w:p>
    <w:p w14:paraId="15EDC1E6" w14:textId="77777777" w:rsidR="00AA770A" w:rsidRDefault="00000000">
      <w:pPr>
        <w:widowControl w:val="0"/>
        <w:numPr>
          <w:ilvl w:val="0"/>
          <w:numId w:val="2"/>
        </w:numPr>
        <w:rPr>
          <w:rFonts w:ascii="Avenir" w:eastAsia="Avenir" w:hAnsi="Avenir" w:cs="Avenir"/>
          <w:sz w:val="22"/>
          <w:szCs w:val="22"/>
        </w:rPr>
      </w:pPr>
      <w:r>
        <w:rPr>
          <w:rFonts w:ascii="Avenir" w:eastAsia="Avenir" w:hAnsi="Avenir" w:cs="Avenir"/>
          <w:sz w:val="22"/>
          <w:szCs w:val="22"/>
        </w:rPr>
        <w:t>The prescriber can be any prescribing clinician, including advanced practice clinicians.</w:t>
      </w:r>
    </w:p>
    <w:p w14:paraId="5D344542" w14:textId="77777777" w:rsidR="00AA770A" w:rsidRDefault="00AA770A">
      <w:pPr>
        <w:widowControl w:val="0"/>
        <w:pBdr>
          <w:top w:val="nil"/>
          <w:left w:val="nil"/>
          <w:bottom w:val="nil"/>
          <w:right w:val="nil"/>
          <w:between w:val="nil"/>
        </w:pBdr>
        <w:rPr>
          <w:color w:val="000000"/>
        </w:rPr>
      </w:pPr>
    </w:p>
    <w:p w14:paraId="3951D15D" w14:textId="77777777" w:rsidR="00AA770A" w:rsidRDefault="00000000">
      <w:pPr>
        <w:widowControl w:val="0"/>
        <w:pBdr>
          <w:top w:val="nil"/>
          <w:left w:val="nil"/>
          <w:bottom w:val="nil"/>
          <w:right w:val="nil"/>
          <w:between w:val="nil"/>
        </w:pBdr>
        <w:rPr>
          <w:color w:val="000000"/>
        </w:rPr>
      </w:pPr>
      <w:r>
        <w:rPr>
          <w:rFonts w:ascii="Avenir" w:eastAsia="Avenir" w:hAnsi="Avenir" w:cs="Avenir"/>
          <w:b/>
          <w:color w:val="000000"/>
        </w:rPr>
        <w:t>Telehealth Care for Medication Abortion Process</w:t>
      </w:r>
    </w:p>
    <w:p w14:paraId="45094C41" w14:textId="77777777" w:rsidR="00AA770A" w:rsidRDefault="00000000">
      <w:pPr>
        <w:widowControl w:val="0"/>
        <w:pBdr>
          <w:top w:val="nil"/>
          <w:left w:val="nil"/>
          <w:bottom w:val="nil"/>
          <w:right w:val="nil"/>
          <w:between w:val="nil"/>
        </w:pBdr>
        <w:rPr>
          <w:color w:val="000000"/>
        </w:rPr>
      </w:pPr>
      <w:r>
        <w:rPr>
          <w:rFonts w:ascii="Avenir" w:eastAsia="Avenir" w:hAnsi="Avenir" w:cs="Avenir"/>
          <w:color w:val="000000"/>
          <w:sz w:val="22"/>
          <w:szCs w:val="22"/>
        </w:rPr>
        <w:t xml:space="preserve">The </w:t>
      </w:r>
      <w:r>
        <w:rPr>
          <w:rFonts w:ascii="Avenir" w:eastAsia="Avenir" w:hAnsi="Avenir" w:cs="Avenir"/>
          <w:sz w:val="22"/>
          <w:szCs w:val="22"/>
        </w:rPr>
        <w:t>clinician</w:t>
      </w:r>
      <w:r>
        <w:rPr>
          <w:rFonts w:ascii="Avenir" w:eastAsia="Avenir" w:hAnsi="Avenir" w:cs="Avenir"/>
          <w:color w:val="000000"/>
          <w:sz w:val="22"/>
          <w:szCs w:val="22"/>
        </w:rPr>
        <w:t xml:space="preserve"> should counsel the patient by phone or video chat about pregnancy options (and contraception if desired). Patients who choose medication abortion can then be counseled about the process. Patient information sheets can be emailed, faxed, or sent through patient portals.</w:t>
      </w:r>
    </w:p>
    <w:p w14:paraId="10BF3494" w14:textId="77777777" w:rsidR="00AA770A" w:rsidRDefault="00AA770A">
      <w:pPr>
        <w:widowControl w:val="0"/>
        <w:pBdr>
          <w:top w:val="nil"/>
          <w:left w:val="nil"/>
          <w:bottom w:val="nil"/>
          <w:right w:val="nil"/>
          <w:between w:val="nil"/>
        </w:pBdr>
        <w:rPr>
          <w:color w:val="000000"/>
        </w:rPr>
      </w:pPr>
    </w:p>
    <w:p w14:paraId="1250D8E0" w14:textId="77777777" w:rsidR="00AA770A" w:rsidRDefault="00000000">
      <w:pPr>
        <w:widowControl w:val="0"/>
        <w:pBdr>
          <w:top w:val="nil"/>
          <w:left w:val="nil"/>
          <w:bottom w:val="nil"/>
          <w:right w:val="nil"/>
          <w:between w:val="nil"/>
        </w:pBdr>
        <w:rPr>
          <w:color w:val="000000"/>
        </w:rPr>
      </w:pPr>
      <w:r>
        <w:rPr>
          <w:rFonts w:ascii="Avenir" w:eastAsia="Avenir" w:hAnsi="Avenir" w:cs="Avenir"/>
          <w:b/>
          <w:color w:val="000000"/>
        </w:rPr>
        <w:t>Initial Assessment – Discussion of Home Medication Abortion</w:t>
      </w:r>
    </w:p>
    <w:p w14:paraId="429CCB50" w14:textId="77777777" w:rsidR="00AA770A" w:rsidRDefault="00AA770A">
      <w:pPr>
        <w:widowControl w:val="0"/>
        <w:pBdr>
          <w:top w:val="nil"/>
          <w:left w:val="nil"/>
          <w:bottom w:val="nil"/>
          <w:right w:val="nil"/>
          <w:between w:val="nil"/>
        </w:pBdr>
        <w:rPr>
          <w:color w:val="000000"/>
        </w:rPr>
      </w:pPr>
    </w:p>
    <w:p w14:paraId="14308FE9" w14:textId="77777777" w:rsidR="00AA770A" w:rsidRDefault="00000000">
      <w:pPr>
        <w:widowControl w:val="0"/>
        <w:pBdr>
          <w:top w:val="nil"/>
          <w:left w:val="nil"/>
          <w:bottom w:val="nil"/>
          <w:right w:val="nil"/>
          <w:between w:val="nil"/>
        </w:pBdr>
        <w:rPr>
          <w:color w:val="000000"/>
        </w:rPr>
      </w:pPr>
      <w:r>
        <w:rPr>
          <w:rFonts w:ascii="Avenir" w:eastAsia="Avenir" w:hAnsi="Avenir" w:cs="Avenir"/>
          <w:b/>
          <w:color w:val="000000"/>
          <w:sz w:val="22"/>
          <w:szCs w:val="22"/>
        </w:rPr>
        <w:t>Counseling</w:t>
      </w:r>
    </w:p>
    <w:p w14:paraId="260D9AF0" w14:textId="77777777" w:rsidR="00AA770A" w:rsidRDefault="00000000">
      <w:pPr>
        <w:widowControl w:val="0"/>
        <w:pBdr>
          <w:top w:val="nil"/>
          <w:left w:val="nil"/>
          <w:bottom w:val="nil"/>
          <w:right w:val="nil"/>
          <w:between w:val="nil"/>
        </w:pBdr>
        <w:ind w:left="720"/>
        <w:rPr>
          <w:color w:val="000000"/>
        </w:rPr>
      </w:pPr>
      <w:r w:rsidRPr="005F6496">
        <w:rPr>
          <w:rFonts w:ascii="Avenir" w:eastAsia="Avenir" w:hAnsi="Avenir" w:cs="Avenir"/>
          <w:b/>
          <w:bCs/>
          <w:color w:val="000000"/>
          <w:sz w:val="22"/>
          <w:szCs w:val="22"/>
        </w:rPr>
        <w:t>1.</w:t>
      </w:r>
      <w:r>
        <w:rPr>
          <w:rFonts w:ascii="Avenir" w:eastAsia="Avenir" w:hAnsi="Avenir" w:cs="Avenir"/>
          <w:color w:val="000000"/>
          <w:sz w:val="22"/>
          <w:szCs w:val="22"/>
        </w:rPr>
        <w:t xml:space="preserve"> </w:t>
      </w:r>
      <w:r>
        <w:rPr>
          <w:rFonts w:ascii="Avenir" w:eastAsia="Avenir" w:hAnsi="Avenir" w:cs="Avenir"/>
          <w:b/>
          <w:color w:val="000000"/>
          <w:sz w:val="22"/>
          <w:szCs w:val="22"/>
        </w:rPr>
        <w:t>Options counseling:</w:t>
      </w:r>
      <w:r>
        <w:rPr>
          <w:rFonts w:ascii="Avenir" w:eastAsia="Avenir" w:hAnsi="Avenir" w:cs="Avenir"/>
          <w:color w:val="000000"/>
          <w:sz w:val="22"/>
          <w:szCs w:val="22"/>
        </w:rPr>
        <w:t xml:space="preserve"> Assure that the patient understands o</w:t>
      </w:r>
      <w:r>
        <w:rPr>
          <w:rFonts w:ascii="Avenir" w:eastAsia="Avenir" w:hAnsi="Avenir" w:cs="Avenir"/>
          <w:sz w:val="22"/>
          <w:szCs w:val="22"/>
        </w:rPr>
        <w:t>ptions: continuing or ending the pregnancy. Options for ending the pregnancy include medication and aspiration abortion.</w:t>
      </w:r>
    </w:p>
    <w:p w14:paraId="72FDB2FD" w14:textId="77777777" w:rsidR="00AA770A" w:rsidRDefault="00AA770A">
      <w:pPr>
        <w:widowControl w:val="0"/>
        <w:pBdr>
          <w:top w:val="nil"/>
          <w:left w:val="nil"/>
          <w:bottom w:val="nil"/>
          <w:right w:val="nil"/>
          <w:between w:val="nil"/>
        </w:pBdr>
        <w:ind w:left="720"/>
        <w:rPr>
          <w:color w:val="000000"/>
        </w:rPr>
      </w:pPr>
    </w:p>
    <w:p w14:paraId="09C890E5" w14:textId="77777777" w:rsidR="00AA770A" w:rsidRDefault="00000000">
      <w:pPr>
        <w:widowControl w:val="0"/>
        <w:pBdr>
          <w:top w:val="nil"/>
          <w:left w:val="nil"/>
          <w:bottom w:val="nil"/>
          <w:right w:val="nil"/>
          <w:between w:val="nil"/>
        </w:pBdr>
        <w:ind w:left="720"/>
        <w:rPr>
          <w:color w:val="000000"/>
        </w:rPr>
      </w:pPr>
      <w:r w:rsidRPr="005F6496">
        <w:rPr>
          <w:rFonts w:ascii="Avenir" w:eastAsia="Avenir" w:hAnsi="Avenir" w:cs="Avenir"/>
          <w:b/>
          <w:bCs/>
          <w:color w:val="000000"/>
          <w:sz w:val="22"/>
          <w:szCs w:val="22"/>
        </w:rPr>
        <w:t>2.</w:t>
      </w:r>
      <w:r>
        <w:rPr>
          <w:rFonts w:ascii="Avenir" w:eastAsia="Avenir" w:hAnsi="Avenir" w:cs="Avenir"/>
          <w:color w:val="000000"/>
          <w:sz w:val="22"/>
          <w:szCs w:val="22"/>
        </w:rPr>
        <w:t xml:space="preserve"> </w:t>
      </w:r>
      <w:r>
        <w:rPr>
          <w:rFonts w:ascii="Avenir" w:eastAsia="Avenir" w:hAnsi="Avenir" w:cs="Avenir"/>
          <w:b/>
          <w:color w:val="000000"/>
          <w:sz w:val="22"/>
          <w:szCs w:val="22"/>
        </w:rPr>
        <w:t>Review of expected effects:</w:t>
      </w:r>
      <w:r>
        <w:rPr>
          <w:rFonts w:ascii="Avenir" w:eastAsia="Avenir" w:hAnsi="Avenir" w:cs="Avenir"/>
          <w:color w:val="000000"/>
          <w:sz w:val="22"/>
          <w:szCs w:val="22"/>
        </w:rPr>
        <w:t xml:space="preserve"> Bleeding and cramping (usually heavier than with menses) are expected. Diarrhea and other gastrointestinal side effects are common.</w:t>
      </w:r>
      <w:r>
        <w:rPr>
          <w:rFonts w:ascii="Avenir" w:eastAsia="Avenir" w:hAnsi="Avenir" w:cs="Avenir"/>
          <w:b/>
          <w:color w:val="000000"/>
          <w:sz w:val="22"/>
          <w:szCs w:val="22"/>
        </w:rPr>
        <w:t xml:space="preserve"> </w:t>
      </w:r>
      <w:r>
        <w:rPr>
          <w:rFonts w:ascii="Avenir" w:eastAsia="Avenir" w:hAnsi="Avenir" w:cs="Avenir"/>
          <w:color w:val="000000"/>
          <w:sz w:val="22"/>
          <w:szCs w:val="22"/>
        </w:rPr>
        <w:t>There is a very small risk of prolonged bleeding requiring an aspiration abortion or MVA.</w:t>
      </w:r>
      <w:r>
        <w:rPr>
          <w:rFonts w:ascii="Avenir" w:eastAsia="Avenir" w:hAnsi="Avenir" w:cs="Avenir"/>
          <w:b/>
          <w:color w:val="000000"/>
          <w:sz w:val="22"/>
          <w:szCs w:val="22"/>
        </w:rPr>
        <w:t xml:space="preserve"> </w:t>
      </w:r>
      <w:r>
        <w:rPr>
          <w:rFonts w:ascii="Avenir" w:eastAsia="Avenir" w:hAnsi="Avenir" w:cs="Avenir"/>
          <w:color w:val="000000"/>
          <w:sz w:val="22"/>
          <w:szCs w:val="22"/>
        </w:rPr>
        <w:t>The patient should be instructed in how much bleeding would be considered excessive and when to call the clinician (more than 2 soaked pads per hour for two hours in a row).</w:t>
      </w:r>
    </w:p>
    <w:p w14:paraId="26797759" w14:textId="77777777" w:rsidR="00AA770A" w:rsidRDefault="00000000">
      <w:pPr>
        <w:widowControl w:val="0"/>
        <w:pBdr>
          <w:top w:val="nil"/>
          <w:left w:val="nil"/>
          <w:bottom w:val="nil"/>
          <w:right w:val="nil"/>
          <w:between w:val="nil"/>
        </w:pBdr>
        <w:ind w:left="720"/>
        <w:rPr>
          <w:color w:val="000000"/>
        </w:rPr>
      </w:pPr>
      <w:r w:rsidRPr="005F6496">
        <w:rPr>
          <w:rFonts w:ascii="Avenir" w:eastAsia="Avenir" w:hAnsi="Avenir" w:cs="Avenir"/>
          <w:b/>
          <w:bCs/>
          <w:color w:val="000000"/>
          <w:sz w:val="22"/>
          <w:szCs w:val="22"/>
        </w:rPr>
        <w:lastRenderedPageBreak/>
        <w:t>3.</w:t>
      </w:r>
      <w:r>
        <w:rPr>
          <w:rFonts w:ascii="Avenir" w:eastAsia="Avenir" w:hAnsi="Avenir" w:cs="Avenir"/>
          <w:color w:val="000000"/>
          <w:sz w:val="22"/>
          <w:szCs w:val="22"/>
        </w:rPr>
        <w:t xml:space="preserve"> </w:t>
      </w:r>
      <w:r>
        <w:rPr>
          <w:rFonts w:ascii="Avenir" w:eastAsia="Avenir" w:hAnsi="Avenir" w:cs="Avenir"/>
          <w:b/>
          <w:color w:val="000000"/>
          <w:sz w:val="22"/>
          <w:szCs w:val="22"/>
        </w:rPr>
        <w:t>Adherence to protocol:</w:t>
      </w:r>
      <w:r>
        <w:rPr>
          <w:rFonts w:ascii="Avenir" w:eastAsia="Avenir" w:hAnsi="Avenir" w:cs="Avenir"/>
          <w:color w:val="000000"/>
          <w:sz w:val="22"/>
          <w:szCs w:val="22"/>
        </w:rPr>
        <w:t xml:space="preserve"> Explain to the patient the process and the importance of finishing the medication abortion protocol.</w:t>
      </w:r>
      <w:r>
        <w:rPr>
          <w:rFonts w:ascii="Avenir" w:eastAsia="Avenir" w:hAnsi="Avenir" w:cs="Avenir"/>
          <w:b/>
          <w:color w:val="000000"/>
          <w:sz w:val="22"/>
          <w:szCs w:val="22"/>
        </w:rPr>
        <w:t xml:space="preserve"> </w:t>
      </w:r>
      <w:r>
        <w:rPr>
          <w:rFonts w:ascii="Avenir" w:eastAsia="Avenir" w:hAnsi="Avenir" w:cs="Avenir"/>
          <w:sz w:val="22"/>
          <w:szCs w:val="22"/>
        </w:rPr>
        <w:t>S</w:t>
      </w:r>
      <w:r>
        <w:rPr>
          <w:rFonts w:ascii="Avenir" w:eastAsia="Avenir" w:hAnsi="Avenir" w:cs="Avenir"/>
          <w:color w:val="000000"/>
          <w:sz w:val="22"/>
          <w:szCs w:val="22"/>
        </w:rPr>
        <w:t>erious bleeding can occur if only the mifepristone is taken and not the misoprostol.</w:t>
      </w:r>
    </w:p>
    <w:p w14:paraId="1CE44F9A" w14:textId="77777777" w:rsidR="00AA770A" w:rsidRDefault="00AA770A">
      <w:pPr>
        <w:widowControl w:val="0"/>
        <w:pBdr>
          <w:top w:val="nil"/>
          <w:left w:val="nil"/>
          <w:bottom w:val="nil"/>
          <w:right w:val="nil"/>
          <w:between w:val="nil"/>
        </w:pBdr>
        <w:ind w:left="720"/>
        <w:rPr>
          <w:color w:val="000000"/>
        </w:rPr>
      </w:pPr>
    </w:p>
    <w:p w14:paraId="7DCE783F" w14:textId="77777777" w:rsidR="00AA770A" w:rsidRDefault="00000000">
      <w:pPr>
        <w:pStyle w:val="Heading2"/>
        <w:widowControl w:val="0"/>
      </w:pPr>
      <w:r>
        <w:rPr>
          <w:rFonts w:ascii="Avenir" w:eastAsia="Avenir" w:hAnsi="Avenir" w:cs="Avenir"/>
          <w:sz w:val="22"/>
          <w:szCs w:val="22"/>
        </w:rPr>
        <w:t>Compliance with State Requirements</w:t>
      </w:r>
    </w:p>
    <w:p w14:paraId="74E7F6A7" w14:textId="77777777" w:rsidR="00AA770A" w:rsidRDefault="00000000">
      <w:pPr>
        <w:widowControl w:val="0"/>
        <w:pBdr>
          <w:top w:val="nil"/>
          <w:left w:val="nil"/>
          <w:bottom w:val="nil"/>
          <w:right w:val="nil"/>
          <w:between w:val="nil"/>
        </w:pBdr>
      </w:pPr>
      <w:r>
        <w:rPr>
          <w:rFonts w:ascii="Avenir" w:eastAsia="Avenir" w:hAnsi="Avenir" w:cs="Avenir"/>
          <w:color w:val="000000"/>
          <w:sz w:val="22"/>
          <w:szCs w:val="22"/>
        </w:rPr>
        <w:t xml:space="preserve">Many states have specific requirements affecting abortion. </w:t>
      </w:r>
      <w:r>
        <w:rPr>
          <w:rFonts w:ascii="Avenir" w:eastAsia="Avenir" w:hAnsi="Avenir" w:cs="Avenir"/>
          <w:sz w:val="22"/>
          <w:szCs w:val="22"/>
        </w:rPr>
        <w:t>Most of these laws apply both to medication and aspiration abortion.</w:t>
      </w:r>
      <w:r>
        <w:rPr>
          <w:rFonts w:ascii="Avenir" w:eastAsia="Avenir" w:hAnsi="Avenir" w:cs="Avenir"/>
          <w:b/>
          <w:sz w:val="22"/>
          <w:szCs w:val="22"/>
        </w:rPr>
        <w:t xml:space="preserve"> </w:t>
      </w:r>
      <w:r>
        <w:rPr>
          <w:rFonts w:ascii="Avenir" w:eastAsia="Avenir" w:hAnsi="Avenir" w:cs="Avenir"/>
          <w:sz w:val="22"/>
          <w:szCs w:val="22"/>
        </w:rPr>
        <w:t>S</w:t>
      </w:r>
      <w:r>
        <w:rPr>
          <w:rFonts w:ascii="Avenir" w:eastAsia="Avenir" w:hAnsi="Avenir" w:cs="Avenir"/>
          <w:color w:val="000000"/>
          <w:sz w:val="22"/>
          <w:szCs w:val="22"/>
        </w:rPr>
        <w:t xml:space="preserve">ome states </w:t>
      </w:r>
      <w:r>
        <w:rPr>
          <w:rFonts w:ascii="Avenir" w:eastAsia="Avenir" w:hAnsi="Avenir" w:cs="Avenir"/>
          <w:sz w:val="22"/>
          <w:szCs w:val="22"/>
        </w:rPr>
        <w:t>prohibit telehealth for abortion and mailing the pills.</w:t>
      </w:r>
      <w:r>
        <w:rPr>
          <w:rFonts w:ascii="Avenir" w:eastAsia="Avenir" w:hAnsi="Avenir" w:cs="Avenir"/>
          <w:sz w:val="22"/>
          <w:szCs w:val="22"/>
          <w:vertAlign w:val="superscript"/>
        </w:rPr>
        <w:footnoteReference w:id="2"/>
      </w:r>
      <w:r>
        <w:rPr>
          <w:rFonts w:ascii="Avenir" w:eastAsia="Avenir" w:hAnsi="Avenir" w:cs="Avenir"/>
          <w:sz w:val="22"/>
          <w:szCs w:val="22"/>
        </w:rPr>
        <w:t xml:space="preserve"> </w:t>
      </w:r>
      <w:r>
        <w:rPr>
          <w:rFonts w:ascii="Avenir" w:eastAsia="Avenir" w:hAnsi="Avenir" w:cs="Avenir"/>
          <w:color w:val="000000"/>
          <w:sz w:val="22"/>
          <w:szCs w:val="22"/>
        </w:rPr>
        <w:t>Providers must comply with mandatory waiting periods, parental notification, gestational age limits, and department of health reporting as required.</w:t>
      </w:r>
      <w:r>
        <w:rPr>
          <w:rFonts w:ascii="Avenir" w:eastAsia="Avenir" w:hAnsi="Avenir" w:cs="Avenir"/>
          <w:b/>
          <w:color w:val="000000"/>
          <w:sz w:val="22"/>
          <w:szCs w:val="22"/>
        </w:rPr>
        <w:t xml:space="preserve"> </w:t>
      </w:r>
      <w:r>
        <w:rPr>
          <w:rFonts w:ascii="Avenir" w:eastAsia="Avenir" w:hAnsi="Avenir" w:cs="Avenir"/>
          <w:color w:val="000000"/>
          <w:sz w:val="22"/>
          <w:szCs w:val="22"/>
        </w:rPr>
        <w:t>To find out more about</w:t>
      </w:r>
      <w:r>
        <w:rPr>
          <w:rFonts w:ascii="Avenir" w:eastAsia="Avenir" w:hAnsi="Avenir" w:cs="Avenir"/>
          <w:sz w:val="22"/>
          <w:szCs w:val="22"/>
        </w:rPr>
        <w:t xml:space="preserve"> </w:t>
      </w:r>
      <w:r>
        <w:rPr>
          <w:rFonts w:ascii="Avenir" w:eastAsia="Avenir" w:hAnsi="Avenir" w:cs="Avenir"/>
          <w:color w:val="000000"/>
          <w:sz w:val="22"/>
          <w:szCs w:val="22"/>
        </w:rPr>
        <w:t xml:space="preserve">regulations in your state, visit the </w:t>
      </w:r>
      <w:hyperlink r:id="rId8">
        <w:r>
          <w:rPr>
            <w:rFonts w:ascii="Avenir" w:eastAsia="Avenir" w:hAnsi="Avenir" w:cs="Avenir"/>
            <w:color w:val="1155CC"/>
            <w:sz w:val="22"/>
            <w:szCs w:val="22"/>
            <w:u w:val="single"/>
          </w:rPr>
          <w:t>Guttmacher Institute</w:t>
        </w:r>
      </w:hyperlink>
      <w:hyperlink r:id="rId9">
        <w:r>
          <w:rPr>
            <w:rFonts w:ascii="Avenir" w:eastAsia="Avenir" w:hAnsi="Avenir" w:cs="Avenir"/>
            <w:color w:val="1155CC"/>
            <w:sz w:val="22"/>
            <w:szCs w:val="22"/>
            <w:u w:val="single"/>
          </w:rPr>
          <w:t>’s website</w:t>
        </w:r>
      </w:hyperlink>
      <w:r>
        <w:t>.</w:t>
      </w:r>
    </w:p>
    <w:p w14:paraId="01EE68EC" w14:textId="77777777" w:rsidR="00AA770A" w:rsidRDefault="00AA770A">
      <w:pPr>
        <w:widowControl w:val="0"/>
        <w:pBdr>
          <w:top w:val="nil"/>
          <w:left w:val="nil"/>
          <w:bottom w:val="nil"/>
          <w:right w:val="nil"/>
          <w:between w:val="nil"/>
        </w:pBdr>
      </w:pPr>
    </w:p>
    <w:p w14:paraId="323BC9C7" w14:textId="77777777" w:rsidR="00AA770A" w:rsidRDefault="00000000">
      <w:pPr>
        <w:widowControl w:val="0"/>
        <w:pBdr>
          <w:top w:val="nil"/>
          <w:left w:val="nil"/>
          <w:bottom w:val="nil"/>
          <w:right w:val="nil"/>
          <w:between w:val="nil"/>
        </w:pBdr>
        <w:rPr>
          <w:color w:val="000000"/>
        </w:rPr>
      </w:pPr>
      <w:r>
        <w:rPr>
          <w:rFonts w:ascii="Avenir" w:eastAsia="Avenir" w:hAnsi="Avenir" w:cs="Avenir"/>
          <w:b/>
          <w:color w:val="000000"/>
          <w:sz w:val="22"/>
          <w:szCs w:val="22"/>
        </w:rPr>
        <w:t xml:space="preserve">Medical History </w:t>
      </w:r>
    </w:p>
    <w:p w14:paraId="3AB898EF" w14:textId="77777777" w:rsidR="00AA770A" w:rsidRDefault="00000000">
      <w:pPr>
        <w:widowControl w:val="0"/>
        <w:pBdr>
          <w:top w:val="nil"/>
          <w:left w:val="nil"/>
          <w:bottom w:val="nil"/>
          <w:right w:val="nil"/>
          <w:between w:val="nil"/>
        </w:pBdr>
        <w:ind w:left="720"/>
        <w:rPr>
          <w:rFonts w:ascii="Avenir" w:eastAsia="Avenir" w:hAnsi="Avenir" w:cs="Avenir"/>
          <w:color w:val="000000"/>
          <w:sz w:val="22"/>
          <w:szCs w:val="22"/>
        </w:rPr>
      </w:pPr>
      <w:r>
        <w:rPr>
          <w:rFonts w:ascii="Avenir" w:eastAsia="Avenir" w:hAnsi="Avenir" w:cs="Avenir"/>
          <w:color w:val="000000"/>
          <w:sz w:val="22"/>
          <w:szCs w:val="22"/>
        </w:rPr>
        <w:t xml:space="preserve">1. Confirm </w:t>
      </w:r>
      <w:r>
        <w:rPr>
          <w:rFonts w:ascii="Avenir" w:eastAsia="Avenir" w:hAnsi="Avenir" w:cs="Avenir"/>
          <w:sz w:val="22"/>
          <w:szCs w:val="22"/>
        </w:rPr>
        <w:t>that the patient</w:t>
      </w:r>
      <w:r>
        <w:rPr>
          <w:rFonts w:ascii="Avenir" w:eastAsia="Avenir" w:hAnsi="Avenir" w:cs="Avenir"/>
          <w:color w:val="000000"/>
          <w:sz w:val="22"/>
          <w:szCs w:val="22"/>
        </w:rPr>
        <w:t xml:space="preserve"> has </w:t>
      </w:r>
      <w:r>
        <w:rPr>
          <w:rFonts w:ascii="Avenir" w:eastAsia="Avenir" w:hAnsi="Avenir" w:cs="Avenir"/>
          <w:sz w:val="22"/>
          <w:szCs w:val="22"/>
        </w:rPr>
        <w:t>had a positive</w:t>
      </w:r>
      <w:r>
        <w:rPr>
          <w:rFonts w:ascii="Avenir" w:eastAsia="Avenir" w:hAnsi="Avenir" w:cs="Avenir"/>
          <w:color w:val="000000"/>
          <w:sz w:val="22"/>
          <w:szCs w:val="22"/>
        </w:rPr>
        <w:t xml:space="preserve"> urine pregnancy test.</w:t>
      </w:r>
    </w:p>
    <w:p w14:paraId="56CFD7CC" w14:textId="77777777" w:rsidR="00AA770A" w:rsidRDefault="00AA770A">
      <w:pPr>
        <w:widowControl w:val="0"/>
        <w:pBdr>
          <w:top w:val="nil"/>
          <w:left w:val="nil"/>
          <w:bottom w:val="nil"/>
          <w:right w:val="nil"/>
          <w:between w:val="nil"/>
        </w:pBdr>
        <w:ind w:left="720"/>
        <w:rPr>
          <w:rFonts w:ascii="Avenir" w:eastAsia="Avenir" w:hAnsi="Avenir" w:cs="Avenir"/>
          <w:color w:val="000000"/>
          <w:sz w:val="22"/>
          <w:szCs w:val="22"/>
        </w:rPr>
      </w:pPr>
    </w:p>
    <w:p w14:paraId="7E96982E" w14:textId="77777777" w:rsidR="00AA770A" w:rsidRDefault="00000000">
      <w:pPr>
        <w:widowControl w:val="0"/>
        <w:pBdr>
          <w:top w:val="nil"/>
          <w:left w:val="nil"/>
          <w:bottom w:val="nil"/>
          <w:right w:val="nil"/>
          <w:between w:val="nil"/>
        </w:pBdr>
        <w:ind w:left="720"/>
        <w:rPr>
          <w:color w:val="000000"/>
        </w:rPr>
      </w:pPr>
      <w:r>
        <w:rPr>
          <w:rFonts w:ascii="Avenir" w:eastAsia="Avenir" w:hAnsi="Avenir" w:cs="Avenir"/>
          <w:color w:val="000000"/>
          <w:sz w:val="22"/>
          <w:szCs w:val="22"/>
        </w:rPr>
        <w:t xml:space="preserve">2. Rule out contraindications: </w:t>
      </w:r>
    </w:p>
    <w:p w14:paraId="72590C34" w14:textId="68850BE6" w:rsidR="00AA770A" w:rsidRPr="005F6496" w:rsidRDefault="00000000" w:rsidP="005F6496">
      <w:pPr>
        <w:pStyle w:val="ListParagraph"/>
        <w:widowControl w:val="0"/>
        <w:numPr>
          <w:ilvl w:val="0"/>
          <w:numId w:val="3"/>
        </w:numPr>
        <w:pBdr>
          <w:top w:val="nil"/>
          <w:left w:val="nil"/>
          <w:bottom w:val="nil"/>
          <w:right w:val="nil"/>
          <w:between w:val="nil"/>
        </w:pBdr>
        <w:tabs>
          <w:tab w:val="left" w:pos="-1440"/>
        </w:tabs>
        <w:rPr>
          <w:color w:val="000000"/>
        </w:rPr>
      </w:pPr>
      <w:r w:rsidRPr="005F6496">
        <w:rPr>
          <w:rFonts w:ascii="Avenir" w:eastAsia="Avenir" w:hAnsi="Avenir" w:cs="Avenir"/>
          <w:color w:val="000000"/>
          <w:sz w:val="22"/>
          <w:szCs w:val="22"/>
        </w:rPr>
        <w:t>IUD in place (may be removed by patient</w:t>
      </w:r>
      <w:r>
        <w:rPr>
          <w:rFonts w:eastAsia="Avenir"/>
          <w:vertAlign w:val="superscript"/>
        </w:rPr>
        <w:footnoteReference w:id="3"/>
      </w:r>
      <w:r w:rsidRPr="005F6496">
        <w:rPr>
          <w:rFonts w:ascii="Avenir" w:eastAsia="Avenir" w:hAnsi="Avenir" w:cs="Avenir"/>
          <w:color w:val="000000"/>
          <w:sz w:val="22"/>
          <w:szCs w:val="22"/>
        </w:rPr>
        <w:t xml:space="preserve"> or </w:t>
      </w:r>
      <w:r w:rsidR="005F6496">
        <w:rPr>
          <w:rFonts w:ascii="Avenir" w:eastAsia="Avenir" w:hAnsi="Avenir" w:cs="Avenir"/>
          <w:color w:val="000000"/>
          <w:sz w:val="22"/>
          <w:szCs w:val="22"/>
        </w:rPr>
        <w:t>clinician</w:t>
      </w:r>
      <w:r w:rsidRPr="005F6496">
        <w:rPr>
          <w:rFonts w:ascii="Avenir" w:eastAsia="Avenir" w:hAnsi="Avenir" w:cs="Avenir"/>
          <w:color w:val="000000"/>
          <w:sz w:val="22"/>
          <w:szCs w:val="22"/>
        </w:rPr>
        <w:t xml:space="preserve"> prior to abortion) </w:t>
      </w:r>
    </w:p>
    <w:p w14:paraId="5D360B85" w14:textId="35B19E78" w:rsidR="00AA770A" w:rsidRPr="005F6496" w:rsidRDefault="00000000" w:rsidP="005F6496">
      <w:pPr>
        <w:pStyle w:val="ListParagraph"/>
        <w:widowControl w:val="0"/>
        <w:numPr>
          <w:ilvl w:val="0"/>
          <w:numId w:val="3"/>
        </w:numPr>
        <w:pBdr>
          <w:top w:val="nil"/>
          <w:left w:val="nil"/>
          <w:bottom w:val="nil"/>
          <w:right w:val="nil"/>
          <w:between w:val="nil"/>
        </w:pBdr>
        <w:tabs>
          <w:tab w:val="left" w:pos="-1440"/>
        </w:tabs>
        <w:rPr>
          <w:color w:val="000000"/>
        </w:rPr>
      </w:pPr>
      <w:r w:rsidRPr="005F6496">
        <w:rPr>
          <w:rFonts w:ascii="Avenir" w:eastAsia="Avenir" w:hAnsi="Avenir" w:cs="Avenir"/>
          <w:color w:val="000000"/>
          <w:sz w:val="22"/>
          <w:szCs w:val="22"/>
        </w:rPr>
        <w:t>Allergy to prostaglandins or mifepristone</w:t>
      </w:r>
    </w:p>
    <w:p w14:paraId="7D64C50E" w14:textId="7A193A88" w:rsidR="00AA770A" w:rsidRPr="005F6496" w:rsidRDefault="00000000" w:rsidP="005F6496">
      <w:pPr>
        <w:pStyle w:val="ListParagraph"/>
        <w:widowControl w:val="0"/>
        <w:numPr>
          <w:ilvl w:val="0"/>
          <w:numId w:val="3"/>
        </w:numPr>
        <w:pBdr>
          <w:top w:val="nil"/>
          <w:left w:val="nil"/>
          <w:bottom w:val="nil"/>
          <w:right w:val="nil"/>
          <w:between w:val="nil"/>
        </w:pBdr>
        <w:tabs>
          <w:tab w:val="left" w:pos="-1440"/>
        </w:tabs>
        <w:rPr>
          <w:color w:val="000000"/>
        </w:rPr>
      </w:pPr>
      <w:r w:rsidRPr="005F6496">
        <w:rPr>
          <w:rFonts w:ascii="Avenir" w:eastAsia="Avenir" w:hAnsi="Avenir" w:cs="Avenir"/>
          <w:color w:val="000000"/>
          <w:sz w:val="22"/>
          <w:szCs w:val="22"/>
        </w:rPr>
        <w:t>Chronic adrenal failure</w:t>
      </w:r>
    </w:p>
    <w:p w14:paraId="1DE89ED4" w14:textId="34E7648D" w:rsidR="00AA770A" w:rsidRPr="005F6496" w:rsidRDefault="00000000" w:rsidP="005F6496">
      <w:pPr>
        <w:pStyle w:val="ListParagraph"/>
        <w:widowControl w:val="0"/>
        <w:numPr>
          <w:ilvl w:val="0"/>
          <w:numId w:val="3"/>
        </w:numPr>
        <w:pBdr>
          <w:top w:val="nil"/>
          <w:left w:val="nil"/>
          <w:bottom w:val="nil"/>
          <w:right w:val="nil"/>
          <w:between w:val="nil"/>
        </w:pBdr>
        <w:tabs>
          <w:tab w:val="left" w:pos="-1440"/>
        </w:tabs>
        <w:rPr>
          <w:color w:val="000000"/>
        </w:rPr>
      </w:pPr>
      <w:r w:rsidRPr="005F6496">
        <w:rPr>
          <w:rFonts w:ascii="Avenir" w:eastAsia="Avenir" w:hAnsi="Avenir" w:cs="Avenir"/>
          <w:color w:val="000000"/>
          <w:sz w:val="22"/>
          <w:szCs w:val="22"/>
        </w:rPr>
        <w:t>Long-term systemic corticosteroid therapy</w:t>
      </w:r>
    </w:p>
    <w:p w14:paraId="0021DE7F" w14:textId="2C09337D" w:rsidR="00AA770A" w:rsidRPr="005F6496" w:rsidRDefault="00000000" w:rsidP="005F6496">
      <w:pPr>
        <w:pStyle w:val="ListParagraph"/>
        <w:widowControl w:val="0"/>
        <w:numPr>
          <w:ilvl w:val="0"/>
          <w:numId w:val="3"/>
        </w:numPr>
        <w:pBdr>
          <w:top w:val="nil"/>
          <w:left w:val="nil"/>
          <w:bottom w:val="nil"/>
          <w:right w:val="nil"/>
          <w:between w:val="nil"/>
        </w:pBdr>
        <w:tabs>
          <w:tab w:val="left" w:pos="-1440"/>
        </w:tabs>
        <w:rPr>
          <w:color w:val="000000"/>
        </w:rPr>
      </w:pPr>
      <w:r w:rsidRPr="005F6496">
        <w:rPr>
          <w:rFonts w:ascii="Avenir" w:eastAsia="Avenir" w:hAnsi="Avenir" w:cs="Avenir"/>
          <w:color w:val="000000"/>
          <w:sz w:val="22"/>
          <w:szCs w:val="22"/>
        </w:rPr>
        <w:t>Hemorrhagic disorders</w:t>
      </w:r>
    </w:p>
    <w:p w14:paraId="2E615972" w14:textId="78091A13" w:rsidR="00AA770A" w:rsidRPr="005F6496" w:rsidRDefault="00000000" w:rsidP="005F6496">
      <w:pPr>
        <w:pStyle w:val="ListParagraph"/>
        <w:widowControl w:val="0"/>
        <w:numPr>
          <w:ilvl w:val="0"/>
          <w:numId w:val="3"/>
        </w:numPr>
        <w:pBdr>
          <w:top w:val="nil"/>
          <w:left w:val="nil"/>
          <w:bottom w:val="nil"/>
          <w:right w:val="nil"/>
          <w:between w:val="nil"/>
        </w:pBdr>
        <w:tabs>
          <w:tab w:val="left" w:pos="-1440"/>
        </w:tabs>
        <w:rPr>
          <w:color w:val="000000"/>
        </w:rPr>
      </w:pPr>
      <w:r w:rsidRPr="005F6496">
        <w:rPr>
          <w:rFonts w:ascii="Avenir" w:eastAsia="Avenir" w:hAnsi="Avenir" w:cs="Avenir"/>
          <w:color w:val="000000"/>
          <w:sz w:val="22"/>
          <w:szCs w:val="22"/>
        </w:rPr>
        <w:t>Concurrent anticoagulant therapy (excluding aspirin, which</w:t>
      </w:r>
      <w:r w:rsidRPr="005F6496">
        <w:rPr>
          <w:rFonts w:ascii="Avenir" w:eastAsia="Avenir" w:hAnsi="Avenir" w:cs="Avenir"/>
          <w:sz w:val="22"/>
          <w:szCs w:val="22"/>
        </w:rPr>
        <w:t xml:space="preserve"> is OK</w:t>
      </w:r>
      <w:r w:rsidRPr="005F6496">
        <w:rPr>
          <w:rFonts w:ascii="Avenir" w:eastAsia="Avenir" w:hAnsi="Avenir" w:cs="Avenir"/>
          <w:color w:val="000000"/>
          <w:sz w:val="22"/>
          <w:szCs w:val="22"/>
        </w:rPr>
        <w:t>)</w:t>
      </w:r>
    </w:p>
    <w:p w14:paraId="67B143CE" w14:textId="77777777" w:rsidR="00AA770A" w:rsidRDefault="00AA770A">
      <w:pPr>
        <w:widowControl w:val="0"/>
        <w:pBdr>
          <w:top w:val="nil"/>
          <w:left w:val="nil"/>
          <w:bottom w:val="nil"/>
          <w:right w:val="nil"/>
          <w:between w:val="nil"/>
        </w:pBdr>
        <w:ind w:left="720"/>
        <w:rPr>
          <w:color w:val="000000"/>
        </w:rPr>
      </w:pPr>
    </w:p>
    <w:p w14:paraId="16831273" w14:textId="77777777" w:rsidR="00AA770A" w:rsidRDefault="00000000">
      <w:pPr>
        <w:widowControl w:val="0"/>
        <w:pBdr>
          <w:top w:val="nil"/>
          <w:left w:val="nil"/>
          <w:bottom w:val="nil"/>
          <w:right w:val="nil"/>
          <w:between w:val="nil"/>
        </w:pBdr>
        <w:ind w:left="720"/>
        <w:rPr>
          <w:color w:val="000000"/>
        </w:rPr>
      </w:pPr>
      <w:r>
        <w:rPr>
          <w:rFonts w:ascii="Avenir" w:eastAsia="Avenir" w:hAnsi="Avenir" w:cs="Avenir"/>
          <w:color w:val="000000"/>
          <w:sz w:val="22"/>
          <w:szCs w:val="22"/>
        </w:rPr>
        <w:t xml:space="preserve">3. </w:t>
      </w:r>
      <w:r>
        <w:rPr>
          <w:rFonts w:ascii="Avenir" w:eastAsia="Avenir" w:hAnsi="Avenir" w:cs="Avenir"/>
          <w:sz w:val="22"/>
          <w:szCs w:val="22"/>
        </w:rPr>
        <w:t xml:space="preserve">Patients should have instructions for contacting a clinician for questions/concerns. </w:t>
      </w:r>
    </w:p>
    <w:p w14:paraId="3D678CBC" w14:textId="77777777" w:rsidR="00AA770A" w:rsidRDefault="00000000">
      <w:pPr>
        <w:widowControl w:val="0"/>
        <w:pBdr>
          <w:top w:val="nil"/>
          <w:left w:val="nil"/>
          <w:bottom w:val="nil"/>
          <w:right w:val="nil"/>
          <w:between w:val="nil"/>
        </w:pBdr>
        <w:ind w:left="720"/>
        <w:rPr>
          <w:color w:val="000000"/>
        </w:rPr>
      </w:pPr>
      <w:r>
        <w:rPr>
          <w:rFonts w:ascii="Avenir" w:eastAsia="Avenir" w:hAnsi="Avenir" w:cs="Avenir"/>
          <w:color w:val="000000"/>
          <w:sz w:val="22"/>
          <w:szCs w:val="22"/>
        </w:rPr>
        <w:t xml:space="preserve"> </w:t>
      </w:r>
    </w:p>
    <w:p w14:paraId="488EE2A9" w14:textId="23E283E1" w:rsidR="00AA770A" w:rsidRDefault="00000000">
      <w:pPr>
        <w:widowControl w:val="0"/>
        <w:pBdr>
          <w:top w:val="nil"/>
          <w:left w:val="nil"/>
          <w:bottom w:val="nil"/>
          <w:right w:val="nil"/>
          <w:between w:val="nil"/>
        </w:pBdr>
        <w:ind w:left="720"/>
        <w:rPr>
          <w:rFonts w:ascii="Avenir" w:eastAsia="Avenir" w:hAnsi="Avenir" w:cs="Avenir"/>
          <w:sz w:val="22"/>
          <w:szCs w:val="22"/>
        </w:rPr>
      </w:pPr>
      <w:r>
        <w:rPr>
          <w:rFonts w:ascii="Avenir" w:eastAsia="Avenir" w:hAnsi="Avenir" w:cs="Avenir"/>
          <w:color w:val="000000"/>
          <w:sz w:val="22"/>
          <w:szCs w:val="22"/>
        </w:rPr>
        <w:t>4. Obtain gestational dating. If patient is uncertain about last menstrual period (LMP), has irregular menstrual cycles, or clinician is concerned about ectopic pregnancy (risk factors include history of previous ectopic pregnancy, vaginal bleeding since LMP, adnexal pain, IUD in place, history of tubal surgery, and history of treatment for PID), an ultrasound will need to be obtained. Ultrasound examination should also be performed if the LMP places the pregnancy at &gt;11 weeks (77 days). If ultrasound is not indicated,</w:t>
      </w:r>
      <w:r w:rsidR="005F6496">
        <w:rPr>
          <w:rFonts w:ascii="Avenir" w:eastAsia="Avenir" w:hAnsi="Avenir" w:cs="Avenir"/>
          <w:color w:val="000000"/>
          <w:sz w:val="22"/>
          <w:szCs w:val="22"/>
        </w:rPr>
        <w:t xml:space="preserve"> </w:t>
      </w:r>
      <w:r>
        <w:rPr>
          <w:rFonts w:ascii="Avenir" w:eastAsia="Avenir" w:hAnsi="Avenir" w:cs="Avenir"/>
          <w:color w:val="000000"/>
          <w:sz w:val="22"/>
          <w:szCs w:val="22"/>
        </w:rPr>
        <w:t xml:space="preserve"> gestational dating should be done by LMP.</w:t>
      </w:r>
      <w:r>
        <w:rPr>
          <w:rFonts w:ascii="Avenir" w:eastAsia="Avenir" w:hAnsi="Avenir" w:cs="Avenir"/>
          <w:color w:val="000000"/>
          <w:sz w:val="22"/>
          <w:szCs w:val="22"/>
          <w:vertAlign w:val="superscript"/>
        </w:rPr>
        <w:footnoteReference w:id="4"/>
      </w:r>
      <w:r>
        <w:rPr>
          <w:rFonts w:ascii="Avenir" w:eastAsia="Avenir" w:hAnsi="Avenir" w:cs="Avenir"/>
          <w:color w:val="000000"/>
          <w:sz w:val="22"/>
          <w:szCs w:val="22"/>
          <w:vertAlign w:val="superscript"/>
        </w:rPr>
        <w:t>,</w:t>
      </w:r>
      <w:r>
        <w:rPr>
          <w:rFonts w:ascii="Avenir" w:eastAsia="Avenir" w:hAnsi="Avenir" w:cs="Avenir"/>
          <w:color w:val="000000"/>
          <w:sz w:val="22"/>
          <w:szCs w:val="22"/>
          <w:vertAlign w:val="superscript"/>
        </w:rPr>
        <w:footnoteReference w:id="5"/>
      </w:r>
      <w:r>
        <w:rPr>
          <w:rFonts w:ascii="Avenir" w:eastAsia="Avenir" w:hAnsi="Avenir" w:cs="Avenir"/>
          <w:color w:val="000000"/>
          <w:sz w:val="22"/>
          <w:szCs w:val="22"/>
          <w:vertAlign w:val="superscript"/>
        </w:rPr>
        <w:t>,</w:t>
      </w:r>
      <w:r>
        <w:rPr>
          <w:rFonts w:ascii="Avenir" w:eastAsia="Avenir" w:hAnsi="Avenir" w:cs="Avenir"/>
          <w:color w:val="000000"/>
          <w:sz w:val="22"/>
          <w:szCs w:val="22"/>
          <w:vertAlign w:val="superscript"/>
        </w:rPr>
        <w:footnoteReference w:id="6"/>
      </w:r>
    </w:p>
    <w:p w14:paraId="2C9A497C" w14:textId="77777777" w:rsidR="00AA770A" w:rsidRDefault="00AA770A">
      <w:pPr>
        <w:widowControl w:val="0"/>
        <w:pBdr>
          <w:top w:val="nil"/>
          <w:left w:val="nil"/>
          <w:bottom w:val="nil"/>
          <w:right w:val="nil"/>
          <w:between w:val="nil"/>
        </w:pBdr>
        <w:ind w:left="720"/>
        <w:rPr>
          <w:rFonts w:ascii="Avenir" w:eastAsia="Avenir" w:hAnsi="Avenir" w:cs="Avenir"/>
          <w:sz w:val="22"/>
          <w:szCs w:val="22"/>
        </w:rPr>
      </w:pPr>
    </w:p>
    <w:p w14:paraId="3601D697" w14:textId="77777777" w:rsidR="00AA770A" w:rsidRDefault="00000000">
      <w:pPr>
        <w:widowControl w:val="0"/>
        <w:pBdr>
          <w:top w:val="nil"/>
          <w:left w:val="nil"/>
          <w:bottom w:val="nil"/>
          <w:right w:val="nil"/>
          <w:between w:val="nil"/>
        </w:pBdr>
        <w:ind w:left="720"/>
        <w:rPr>
          <w:rFonts w:ascii="Avenir" w:eastAsia="Avenir" w:hAnsi="Avenir" w:cs="Avenir"/>
          <w:color w:val="000000"/>
          <w:sz w:val="22"/>
          <w:szCs w:val="22"/>
        </w:rPr>
      </w:pPr>
      <w:r>
        <w:rPr>
          <w:rFonts w:ascii="Avenir" w:eastAsia="Avenir" w:hAnsi="Avenir" w:cs="Avenir"/>
          <w:sz w:val="22"/>
          <w:szCs w:val="22"/>
        </w:rPr>
        <w:lastRenderedPageBreak/>
        <w:t>5. Testing for Rh status can be considered if the patient’s status is unknown, however the evidence supporting this practice is minimal. Based on current practice guidelines, it is reasonable to forgo this testing up to 77 days LMP. Institutional policies may vary and it is important to be familiar with the standards for your practice setting.</w:t>
      </w:r>
      <w:r>
        <w:rPr>
          <w:rFonts w:ascii="Avenir" w:eastAsia="Avenir" w:hAnsi="Avenir" w:cs="Avenir"/>
          <w:color w:val="000000"/>
          <w:sz w:val="22"/>
          <w:szCs w:val="22"/>
          <w:vertAlign w:val="superscript"/>
        </w:rPr>
        <w:footnoteReference w:id="7"/>
      </w:r>
      <w:r>
        <w:rPr>
          <w:rFonts w:ascii="Avenir" w:eastAsia="Avenir" w:hAnsi="Avenir" w:cs="Avenir"/>
          <w:color w:val="000000"/>
          <w:sz w:val="22"/>
          <w:szCs w:val="22"/>
        </w:rPr>
        <w:t xml:space="preserve"> </w:t>
      </w:r>
    </w:p>
    <w:p w14:paraId="7F922FB3" w14:textId="77777777" w:rsidR="00AA770A" w:rsidRDefault="00AA770A">
      <w:pPr>
        <w:widowControl w:val="0"/>
        <w:pBdr>
          <w:top w:val="nil"/>
          <w:left w:val="nil"/>
          <w:bottom w:val="nil"/>
          <w:right w:val="nil"/>
          <w:between w:val="nil"/>
        </w:pBdr>
        <w:rPr>
          <w:color w:val="000000"/>
        </w:rPr>
      </w:pPr>
    </w:p>
    <w:p w14:paraId="263CE5DB" w14:textId="77777777" w:rsidR="00AA770A" w:rsidRDefault="00000000">
      <w:pPr>
        <w:widowControl w:val="0"/>
        <w:pBdr>
          <w:top w:val="nil"/>
          <w:left w:val="nil"/>
          <w:bottom w:val="nil"/>
          <w:right w:val="nil"/>
          <w:between w:val="nil"/>
        </w:pBdr>
        <w:rPr>
          <w:rFonts w:ascii="Avenir" w:eastAsia="Avenir" w:hAnsi="Avenir" w:cs="Avenir"/>
          <w:color w:val="000000"/>
          <w:sz w:val="22"/>
          <w:szCs w:val="22"/>
        </w:rPr>
      </w:pPr>
      <w:r>
        <w:rPr>
          <w:rFonts w:ascii="Avenir" w:eastAsia="Avenir" w:hAnsi="Avenir" w:cs="Avenir"/>
          <w:b/>
          <w:color w:val="000000"/>
          <w:sz w:val="22"/>
          <w:szCs w:val="22"/>
        </w:rPr>
        <w:t>Review the required provider/patient agreement and the consent form.</w:t>
      </w:r>
      <w:r>
        <w:rPr>
          <w:rFonts w:ascii="Avenir" w:eastAsia="Avenir" w:hAnsi="Avenir" w:cs="Avenir"/>
          <w:color w:val="000000"/>
          <w:sz w:val="22"/>
          <w:szCs w:val="22"/>
        </w:rPr>
        <w:t xml:space="preserve"> </w:t>
      </w:r>
    </w:p>
    <w:p w14:paraId="17498E7D" w14:textId="77777777" w:rsidR="00AA770A" w:rsidRDefault="00000000">
      <w:pPr>
        <w:widowControl w:val="0"/>
        <w:pBdr>
          <w:top w:val="nil"/>
          <w:left w:val="nil"/>
          <w:bottom w:val="nil"/>
          <w:right w:val="nil"/>
          <w:between w:val="nil"/>
        </w:pBdr>
        <w:ind w:left="720"/>
        <w:rPr>
          <w:color w:val="000000"/>
        </w:rPr>
      </w:pPr>
      <w:r>
        <w:rPr>
          <w:rFonts w:ascii="Avenir" w:eastAsia="Avenir" w:hAnsi="Avenir" w:cs="Avenir"/>
          <w:color w:val="000000"/>
          <w:sz w:val="22"/>
          <w:szCs w:val="22"/>
        </w:rPr>
        <w:t>This can be done verbally, or by giving/showing the patient the consent forms. Obtain either verbal or written consent (</w:t>
      </w:r>
      <w:r>
        <w:rPr>
          <w:rFonts w:ascii="Avenir" w:eastAsia="Avenir" w:hAnsi="Avenir" w:cs="Avenir"/>
          <w:sz w:val="22"/>
          <w:szCs w:val="22"/>
        </w:rPr>
        <w:t>depending on state</w:t>
      </w:r>
      <w:r>
        <w:rPr>
          <w:rFonts w:ascii="Avenir" w:eastAsia="Avenir" w:hAnsi="Avenir" w:cs="Avenir"/>
          <w:color w:val="000000"/>
          <w:sz w:val="22"/>
          <w:szCs w:val="22"/>
        </w:rPr>
        <w:t xml:space="preserve"> requirements).</w:t>
      </w:r>
    </w:p>
    <w:p w14:paraId="7BEC1584" w14:textId="77777777" w:rsidR="00AA770A" w:rsidRDefault="00AA770A">
      <w:pPr>
        <w:widowControl w:val="0"/>
        <w:pBdr>
          <w:top w:val="nil"/>
          <w:left w:val="nil"/>
          <w:bottom w:val="nil"/>
          <w:right w:val="nil"/>
          <w:between w:val="nil"/>
        </w:pBdr>
        <w:ind w:left="720"/>
        <w:rPr>
          <w:color w:val="000000"/>
        </w:rPr>
      </w:pPr>
    </w:p>
    <w:p w14:paraId="2B026D6E" w14:textId="77777777" w:rsidR="00AA770A" w:rsidRDefault="00000000">
      <w:pPr>
        <w:widowControl w:val="0"/>
        <w:pBdr>
          <w:top w:val="nil"/>
          <w:left w:val="nil"/>
          <w:bottom w:val="nil"/>
          <w:right w:val="nil"/>
          <w:between w:val="nil"/>
        </w:pBdr>
        <w:rPr>
          <w:rFonts w:ascii="Avenir" w:eastAsia="Avenir" w:hAnsi="Avenir" w:cs="Avenir"/>
          <w:b/>
          <w:color w:val="000000"/>
          <w:sz w:val="22"/>
          <w:szCs w:val="22"/>
        </w:rPr>
      </w:pPr>
      <w:r>
        <w:rPr>
          <w:rFonts w:ascii="Avenir" w:eastAsia="Avenir" w:hAnsi="Avenir" w:cs="Avenir"/>
          <w:b/>
          <w:color w:val="000000"/>
          <w:sz w:val="22"/>
          <w:szCs w:val="22"/>
        </w:rPr>
        <w:t xml:space="preserve">Determine if the patient </w:t>
      </w:r>
      <w:r>
        <w:rPr>
          <w:rFonts w:ascii="Avenir" w:eastAsia="Avenir" w:hAnsi="Avenir" w:cs="Avenir"/>
          <w:b/>
          <w:sz w:val="22"/>
          <w:szCs w:val="22"/>
        </w:rPr>
        <w:t>would like the pills mailed or picked up.</w:t>
      </w:r>
    </w:p>
    <w:p w14:paraId="2CE1390D" w14:textId="77777777" w:rsidR="00AA770A" w:rsidRDefault="00000000">
      <w:pPr>
        <w:widowControl w:val="0"/>
        <w:pBdr>
          <w:top w:val="nil"/>
          <w:left w:val="nil"/>
          <w:bottom w:val="nil"/>
          <w:right w:val="nil"/>
          <w:between w:val="nil"/>
        </w:pBdr>
        <w:ind w:left="720"/>
        <w:rPr>
          <w:color w:val="000000"/>
        </w:rPr>
      </w:pPr>
      <w:r w:rsidRPr="005F6496">
        <w:rPr>
          <w:rFonts w:ascii="Avenir" w:eastAsia="Avenir" w:hAnsi="Avenir" w:cs="Avenir"/>
          <w:bCs/>
          <w:color w:val="000000"/>
          <w:sz w:val="22"/>
          <w:szCs w:val="22"/>
        </w:rPr>
        <w:t>If mailing is an option:</w:t>
      </w:r>
      <w:r>
        <w:rPr>
          <w:rFonts w:ascii="Avenir" w:eastAsia="Avenir" w:hAnsi="Avenir" w:cs="Avenir"/>
          <w:b/>
          <w:color w:val="000000"/>
          <w:sz w:val="22"/>
          <w:szCs w:val="22"/>
        </w:rPr>
        <w:t xml:space="preserve"> </w:t>
      </w:r>
      <w:r>
        <w:rPr>
          <w:rFonts w:ascii="Avenir" w:eastAsia="Avenir" w:hAnsi="Avenir" w:cs="Avenir"/>
          <w:color w:val="000000"/>
          <w:sz w:val="22"/>
          <w:szCs w:val="22"/>
        </w:rPr>
        <w:t xml:space="preserve">the mifepristone 200-milligram tablet and 4 to 8 tablets of misoprostol should be put into envelopes and mailed to the patient’s home or preferred address. If possible, a urine pregnancy test for </w:t>
      </w:r>
      <w:r>
        <w:rPr>
          <w:rFonts w:ascii="Avenir" w:eastAsia="Avenir" w:hAnsi="Avenir" w:cs="Avenir"/>
          <w:sz w:val="22"/>
          <w:szCs w:val="22"/>
        </w:rPr>
        <w:t>the patient to assess abortion completion</w:t>
      </w:r>
      <w:r>
        <w:rPr>
          <w:rFonts w:ascii="Avenir" w:eastAsia="Avenir" w:hAnsi="Avenir" w:cs="Avenir"/>
          <w:color w:val="000000"/>
          <w:sz w:val="22"/>
          <w:szCs w:val="22"/>
        </w:rPr>
        <w:t xml:space="preserve"> should be mailed as well, with the </w:t>
      </w:r>
      <w:r>
        <w:rPr>
          <w:rFonts w:ascii="Avenir" w:eastAsia="Avenir" w:hAnsi="Avenir" w:cs="Avenir"/>
          <w:sz w:val="22"/>
          <w:szCs w:val="22"/>
        </w:rPr>
        <w:t>aftercare</w:t>
      </w:r>
      <w:r>
        <w:rPr>
          <w:rFonts w:ascii="Avenir" w:eastAsia="Avenir" w:hAnsi="Avenir" w:cs="Avenir"/>
          <w:color w:val="000000"/>
          <w:sz w:val="22"/>
          <w:szCs w:val="22"/>
        </w:rPr>
        <w:t xml:space="preserve"> instructions and a copy of the consent</w:t>
      </w:r>
      <w:r>
        <w:rPr>
          <w:rFonts w:ascii="Avenir" w:eastAsia="Avenir" w:hAnsi="Avenir" w:cs="Avenir"/>
          <w:sz w:val="22"/>
          <w:szCs w:val="22"/>
        </w:rPr>
        <w:t xml:space="preserve"> form.</w:t>
      </w:r>
    </w:p>
    <w:p w14:paraId="575664F0" w14:textId="77777777" w:rsidR="00AA770A" w:rsidRDefault="00AA770A">
      <w:pPr>
        <w:widowControl w:val="0"/>
        <w:pBdr>
          <w:top w:val="nil"/>
          <w:left w:val="nil"/>
          <w:bottom w:val="nil"/>
          <w:right w:val="nil"/>
          <w:between w:val="nil"/>
        </w:pBdr>
        <w:rPr>
          <w:rFonts w:ascii="Avenir" w:eastAsia="Avenir" w:hAnsi="Avenir" w:cs="Avenir"/>
          <w:b/>
          <w:sz w:val="22"/>
          <w:szCs w:val="22"/>
        </w:rPr>
      </w:pPr>
    </w:p>
    <w:p w14:paraId="286B3463" w14:textId="77777777" w:rsidR="00AA770A" w:rsidRDefault="00000000">
      <w:pPr>
        <w:widowControl w:val="0"/>
        <w:pBdr>
          <w:top w:val="nil"/>
          <w:left w:val="nil"/>
          <w:bottom w:val="nil"/>
          <w:right w:val="nil"/>
          <w:between w:val="nil"/>
        </w:pBdr>
        <w:rPr>
          <w:rFonts w:ascii="Avenir" w:eastAsia="Avenir" w:hAnsi="Avenir" w:cs="Avenir"/>
          <w:b/>
          <w:sz w:val="22"/>
          <w:szCs w:val="22"/>
        </w:rPr>
      </w:pPr>
      <w:r>
        <w:rPr>
          <w:rFonts w:ascii="Avenir" w:eastAsia="Avenir" w:hAnsi="Avenir" w:cs="Avenir"/>
          <w:b/>
          <w:sz w:val="22"/>
          <w:szCs w:val="22"/>
        </w:rPr>
        <w:t>Misoprostol Administration</w:t>
      </w:r>
    </w:p>
    <w:p w14:paraId="3DE695F5" w14:textId="77777777" w:rsidR="00AA770A" w:rsidRDefault="00000000">
      <w:pPr>
        <w:widowControl w:val="0"/>
        <w:pBdr>
          <w:top w:val="nil"/>
          <w:left w:val="nil"/>
          <w:bottom w:val="nil"/>
          <w:right w:val="nil"/>
          <w:between w:val="nil"/>
        </w:pBdr>
        <w:ind w:left="720"/>
        <w:rPr>
          <w:color w:val="000000"/>
        </w:rPr>
      </w:pPr>
      <w:r>
        <w:rPr>
          <w:rFonts w:ascii="Avenir" w:eastAsia="Avenir" w:hAnsi="Avenir" w:cs="Avenir"/>
          <w:color w:val="000000"/>
          <w:sz w:val="22"/>
          <w:szCs w:val="22"/>
          <w:u w:val="single"/>
        </w:rPr>
        <w:t>Buccal administration:</w:t>
      </w:r>
      <w:r>
        <w:rPr>
          <w:rFonts w:ascii="Avenir" w:eastAsia="Avenir" w:hAnsi="Avenir" w:cs="Avenir"/>
          <w:color w:val="000000"/>
          <w:sz w:val="22"/>
          <w:szCs w:val="22"/>
        </w:rPr>
        <w:t xml:space="preserve"> The patient will administer four 200-microgram misoprostol tablets, holding two in each cheek for 30 minutes and then swallowing them with a drink, at a convenient time 24-48 hours after taking mifepristone.</w:t>
      </w:r>
      <w:r>
        <w:rPr>
          <w:rFonts w:ascii="Avenir" w:eastAsia="Avenir" w:hAnsi="Avenir" w:cs="Avenir"/>
          <w:color w:val="000000"/>
          <w:sz w:val="22"/>
          <w:szCs w:val="22"/>
          <w:vertAlign w:val="superscript"/>
        </w:rPr>
        <w:footnoteReference w:id="8"/>
      </w:r>
      <w:r>
        <w:rPr>
          <w:rFonts w:ascii="Avenir" w:eastAsia="Avenir" w:hAnsi="Avenir" w:cs="Avenir"/>
          <w:color w:val="000000"/>
          <w:sz w:val="22"/>
          <w:szCs w:val="22"/>
        </w:rPr>
        <w:t xml:space="preserve"> </w:t>
      </w:r>
    </w:p>
    <w:p w14:paraId="00909CBD" w14:textId="77777777" w:rsidR="005F6496" w:rsidRDefault="005F6496">
      <w:pPr>
        <w:widowControl w:val="0"/>
        <w:pBdr>
          <w:top w:val="nil"/>
          <w:left w:val="nil"/>
          <w:bottom w:val="nil"/>
          <w:right w:val="nil"/>
          <w:between w:val="nil"/>
        </w:pBdr>
        <w:ind w:left="720"/>
        <w:rPr>
          <w:rFonts w:ascii="Avenir" w:eastAsia="Avenir" w:hAnsi="Avenir" w:cs="Avenir"/>
          <w:color w:val="000000"/>
          <w:sz w:val="22"/>
          <w:szCs w:val="22"/>
          <w:u w:val="single"/>
        </w:rPr>
      </w:pPr>
    </w:p>
    <w:p w14:paraId="5213A64E" w14:textId="21FDB231" w:rsidR="00AA770A" w:rsidRDefault="00000000">
      <w:pPr>
        <w:widowControl w:val="0"/>
        <w:pBdr>
          <w:top w:val="nil"/>
          <w:left w:val="nil"/>
          <w:bottom w:val="nil"/>
          <w:right w:val="nil"/>
          <w:between w:val="nil"/>
        </w:pBdr>
        <w:ind w:left="720"/>
        <w:rPr>
          <w:rFonts w:ascii="Avenir" w:eastAsia="Avenir" w:hAnsi="Avenir" w:cs="Avenir"/>
          <w:color w:val="000000"/>
          <w:sz w:val="22"/>
          <w:szCs w:val="22"/>
        </w:rPr>
      </w:pPr>
      <w:r>
        <w:rPr>
          <w:rFonts w:ascii="Avenir" w:eastAsia="Avenir" w:hAnsi="Avenir" w:cs="Avenir"/>
          <w:color w:val="000000"/>
          <w:sz w:val="22"/>
          <w:szCs w:val="22"/>
          <w:u w:val="single"/>
        </w:rPr>
        <w:t>Vaginal administration:</w:t>
      </w:r>
      <w:r>
        <w:rPr>
          <w:rFonts w:ascii="Avenir" w:eastAsia="Avenir" w:hAnsi="Avenir" w:cs="Avenir"/>
          <w:color w:val="000000"/>
          <w:sz w:val="22"/>
          <w:szCs w:val="22"/>
        </w:rPr>
        <w:t xml:space="preserve"> The patient will place four 200-microgram misoprostol tablets in the vagina 6</w:t>
      </w:r>
      <w:r>
        <w:rPr>
          <w:rFonts w:ascii="Avenir" w:eastAsia="Avenir" w:hAnsi="Avenir" w:cs="Avenir"/>
          <w:sz w:val="22"/>
          <w:szCs w:val="22"/>
        </w:rPr>
        <w:t>-</w:t>
      </w:r>
      <w:r>
        <w:rPr>
          <w:rFonts w:ascii="Avenir" w:eastAsia="Avenir" w:hAnsi="Avenir" w:cs="Avenir"/>
          <w:color w:val="000000"/>
          <w:sz w:val="22"/>
          <w:szCs w:val="22"/>
        </w:rPr>
        <w:t>72 hours after taking the mifepristone. The patient will then lie down for 30 minutes. If the tablets fall out after 30 minutes, they can be discarded.</w:t>
      </w:r>
      <w:r>
        <w:rPr>
          <w:rFonts w:ascii="Avenir" w:eastAsia="Avenir" w:hAnsi="Avenir" w:cs="Avenir"/>
          <w:color w:val="000000"/>
          <w:sz w:val="22"/>
          <w:szCs w:val="22"/>
          <w:vertAlign w:val="superscript"/>
        </w:rPr>
        <w:footnoteReference w:id="9"/>
      </w:r>
      <w:r>
        <w:rPr>
          <w:rFonts w:ascii="Avenir" w:eastAsia="Avenir" w:hAnsi="Avenir" w:cs="Avenir"/>
          <w:color w:val="000000"/>
          <w:sz w:val="22"/>
          <w:szCs w:val="22"/>
        </w:rPr>
        <w:t xml:space="preserve"> </w:t>
      </w:r>
      <w:r w:rsidR="00E348A9" w:rsidRPr="00DA5405">
        <w:rPr>
          <w:rFonts w:ascii="Avenir Book" w:hAnsi="Avenir Book"/>
          <w:color w:val="000000"/>
          <w:sz w:val="22"/>
          <w:szCs w:val="22"/>
        </w:rPr>
        <w:t>If your patient is concerned about privacy, you can counsel them to put the pills inside their cheeks or under their tongue. This way, there will be no pill fragments left behind</w:t>
      </w:r>
      <w:r w:rsidR="00E348A9">
        <w:rPr>
          <w:rFonts w:ascii="Avenir Book" w:hAnsi="Avenir Book"/>
          <w:color w:val="000000"/>
          <w:sz w:val="22"/>
          <w:szCs w:val="22"/>
        </w:rPr>
        <w:t>.</w:t>
      </w:r>
    </w:p>
    <w:p w14:paraId="2691318A" w14:textId="77777777" w:rsidR="005F6496" w:rsidRDefault="005F6496">
      <w:pPr>
        <w:widowControl w:val="0"/>
        <w:pBdr>
          <w:top w:val="nil"/>
          <w:left w:val="nil"/>
          <w:bottom w:val="nil"/>
          <w:right w:val="nil"/>
          <w:between w:val="nil"/>
        </w:pBdr>
        <w:ind w:left="720"/>
        <w:rPr>
          <w:rFonts w:ascii="Avenir" w:eastAsia="Avenir" w:hAnsi="Avenir" w:cs="Avenir"/>
          <w:color w:val="000000"/>
          <w:sz w:val="22"/>
          <w:szCs w:val="22"/>
          <w:u w:val="single"/>
        </w:rPr>
      </w:pPr>
    </w:p>
    <w:p w14:paraId="56DFD10E" w14:textId="46D9A4B9" w:rsidR="00AA770A" w:rsidRDefault="00000000">
      <w:pPr>
        <w:widowControl w:val="0"/>
        <w:pBdr>
          <w:top w:val="nil"/>
          <w:left w:val="nil"/>
          <w:bottom w:val="nil"/>
          <w:right w:val="nil"/>
          <w:between w:val="nil"/>
        </w:pBdr>
        <w:ind w:left="720"/>
        <w:rPr>
          <w:rFonts w:ascii="Avenir" w:eastAsia="Avenir" w:hAnsi="Avenir" w:cs="Avenir"/>
          <w:color w:val="000000"/>
          <w:sz w:val="22"/>
          <w:szCs w:val="22"/>
        </w:rPr>
      </w:pPr>
      <w:r>
        <w:rPr>
          <w:rFonts w:ascii="Avenir" w:eastAsia="Avenir" w:hAnsi="Avenir" w:cs="Avenir"/>
          <w:color w:val="000000"/>
          <w:sz w:val="22"/>
          <w:szCs w:val="22"/>
          <w:u w:val="single"/>
        </w:rPr>
        <w:t>Sublingual administration</w:t>
      </w:r>
      <w:r>
        <w:rPr>
          <w:rFonts w:ascii="Avenir" w:eastAsia="Avenir" w:hAnsi="Avenir" w:cs="Avenir"/>
          <w:color w:val="000000"/>
          <w:sz w:val="22"/>
          <w:szCs w:val="22"/>
        </w:rPr>
        <w:t>: Four 200-microgram misoprostol tablets are placed under the tongue 24 hours after taking the mifepristone. They are allowed to dissolve for 30 minutes and then the remains are swallowed with a drink.</w:t>
      </w:r>
      <w:r>
        <w:rPr>
          <w:rFonts w:ascii="Avenir" w:eastAsia="Avenir" w:hAnsi="Avenir" w:cs="Avenir"/>
          <w:color w:val="000000"/>
          <w:sz w:val="22"/>
          <w:szCs w:val="22"/>
          <w:vertAlign w:val="superscript"/>
        </w:rPr>
        <w:footnoteReference w:id="10"/>
      </w:r>
    </w:p>
    <w:p w14:paraId="6363F44E" w14:textId="77777777" w:rsidR="00AA770A" w:rsidRDefault="00AA770A">
      <w:pPr>
        <w:widowControl w:val="0"/>
        <w:pBdr>
          <w:top w:val="nil"/>
          <w:left w:val="nil"/>
          <w:bottom w:val="nil"/>
          <w:right w:val="nil"/>
          <w:between w:val="nil"/>
        </w:pBdr>
        <w:ind w:left="720"/>
        <w:rPr>
          <w:rFonts w:ascii="Avenir" w:eastAsia="Avenir" w:hAnsi="Avenir" w:cs="Avenir"/>
          <w:color w:val="000000"/>
          <w:sz w:val="22"/>
          <w:szCs w:val="22"/>
        </w:rPr>
      </w:pPr>
    </w:p>
    <w:p w14:paraId="0CA03599" w14:textId="77777777" w:rsidR="00AA770A" w:rsidRDefault="00000000">
      <w:pPr>
        <w:widowControl w:val="0"/>
        <w:pBdr>
          <w:top w:val="nil"/>
          <w:left w:val="nil"/>
          <w:bottom w:val="nil"/>
          <w:right w:val="nil"/>
          <w:between w:val="nil"/>
        </w:pBdr>
        <w:ind w:left="720"/>
        <w:rPr>
          <w:rFonts w:ascii="Avenir" w:eastAsia="Avenir" w:hAnsi="Avenir" w:cs="Avenir"/>
          <w:color w:val="000000"/>
          <w:sz w:val="22"/>
          <w:szCs w:val="22"/>
        </w:rPr>
      </w:pPr>
      <w:r>
        <w:rPr>
          <w:rFonts w:ascii="Avenir" w:eastAsia="Avenir" w:hAnsi="Avenir" w:cs="Avenir"/>
          <w:color w:val="000000"/>
          <w:sz w:val="22"/>
          <w:szCs w:val="22"/>
        </w:rPr>
        <w:t xml:space="preserve">If </w:t>
      </w:r>
      <w:r>
        <w:rPr>
          <w:rFonts w:ascii="Avenir" w:eastAsia="Avenir" w:hAnsi="Avenir" w:cs="Avenir"/>
          <w:sz w:val="22"/>
          <w:szCs w:val="22"/>
        </w:rPr>
        <w:t>gestational age</w:t>
      </w:r>
      <w:r>
        <w:rPr>
          <w:rFonts w:ascii="Avenir" w:eastAsia="Avenir" w:hAnsi="Avenir" w:cs="Avenir"/>
          <w:color w:val="000000"/>
          <w:sz w:val="22"/>
          <w:szCs w:val="22"/>
        </w:rPr>
        <w:t xml:space="preserve"> is at 63-77 days, a second dose of misoprostol is recommended to increase efficacy. This should be </w:t>
      </w:r>
      <w:r>
        <w:rPr>
          <w:rFonts w:ascii="Avenir" w:eastAsia="Avenir" w:hAnsi="Avenir" w:cs="Avenir"/>
          <w:sz w:val="22"/>
          <w:szCs w:val="22"/>
        </w:rPr>
        <w:t>taken</w:t>
      </w:r>
      <w:r>
        <w:rPr>
          <w:rFonts w:ascii="Avenir" w:eastAsia="Avenir" w:hAnsi="Avenir" w:cs="Avenir"/>
          <w:color w:val="000000"/>
          <w:sz w:val="22"/>
          <w:szCs w:val="22"/>
        </w:rPr>
        <w:t xml:space="preserve"> four hours </w:t>
      </w:r>
      <w:r>
        <w:rPr>
          <w:rFonts w:ascii="Avenir" w:eastAsia="Avenir" w:hAnsi="Avenir" w:cs="Avenir"/>
          <w:sz w:val="22"/>
          <w:szCs w:val="22"/>
        </w:rPr>
        <w:t>after the first</w:t>
      </w:r>
      <w:r>
        <w:rPr>
          <w:rFonts w:ascii="Avenir" w:eastAsia="Avenir" w:hAnsi="Avenir" w:cs="Avenir"/>
          <w:color w:val="000000"/>
          <w:sz w:val="22"/>
          <w:szCs w:val="22"/>
        </w:rPr>
        <w:t xml:space="preserve"> dose of misoprostol.</w:t>
      </w:r>
    </w:p>
    <w:p w14:paraId="7934D937" w14:textId="77777777" w:rsidR="00AA770A" w:rsidRDefault="00000000">
      <w:pPr>
        <w:widowControl w:val="0"/>
        <w:pBdr>
          <w:top w:val="nil"/>
          <w:left w:val="nil"/>
          <w:bottom w:val="nil"/>
          <w:right w:val="nil"/>
          <w:between w:val="nil"/>
        </w:pBdr>
        <w:rPr>
          <w:color w:val="000000"/>
        </w:rPr>
      </w:pPr>
      <w:r>
        <w:rPr>
          <w:rFonts w:ascii="Avenir" w:eastAsia="Avenir" w:hAnsi="Avenir" w:cs="Avenir"/>
          <w:color w:val="000000"/>
          <w:sz w:val="22"/>
          <w:szCs w:val="22"/>
        </w:rPr>
        <w:lastRenderedPageBreak/>
        <w:t xml:space="preserve"> </w:t>
      </w:r>
    </w:p>
    <w:p w14:paraId="75CDC633" w14:textId="77777777" w:rsidR="005F6496" w:rsidRDefault="005F6496">
      <w:pPr>
        <w:widowControl w:val="0"/>
        <w:pBdr>
          <w:top w:val="nil"/>
          <w:left w:val="nil"/>
          <w:bottom w:val="nil"/>
          <w:right w:val="nil"/>
          <w:between w:val="nil"/>
        </w:pBdr>
        <w:rPr>
          <w:rFonts w:ascii="Avenir" w:eastAsia="Avenir" w:hAnsi="Avenir" w:cs="Avenir"/>
          <w:b/>
          <w:color w:val="000000"/>
          <w:sz w:val="22"/>
          <w:szCs w:val="22"/>
        </w:rPr>
      </w:pPr>
    </w:p>
    <w:p w14:paraId="7B7DFA61" w14:textId="2B264264" w:rsidR="00AA770A" w:rsidRDefault="00000000">
      <w:pPr>
        <w:widowControl w:val="0"/>
        <w:pBdr>
          <w:top w:val="nil"/>
          <w:left w:val="nil"/>
          <w:bottom w:val="nil"/>
          <w:right w:val="nil"/>
          <w:between w:val="nil"/>
        </w:pBdr>
        <w:rPr>
          <w:rFonts w:ascii="Avenir" w:eastAsia="Avenir" w:hAnsi="Avenir" w:cs="Avenir"/>
          <w:color w:val="000000"/>
          <w:sz w:val="22"/>
          <w:szCs w:val="22"/>
        </w:rPr>
      </w:pPr>
      <w:r>
        <w:rPr>
          <w:rFonts w:ascii="Avenir" w:eastAsia="Avenir" w:hAnsi="Avenir" w:cs="Avenir"/>
          <w:b/>
          <w:color w:val="000000"/>
          <w:sz w:val="22"/>
          <w:szCs w:val="22"/>
        </w:rPr>
        <w:t>Advise patient on use of pain medications</w:t>
      </w:r>
      <w:r>
        <w:rPr>
          <w:rFonts w:ascii="Avenir" w:eastAsia="Avenir" w:hAnsi="Avenir" w:cs="Avenir"/>
          <w:color w:val="000000"/>
          <w:sz w:val="22"/>
          <w:szCs w:val="22"/>
        </w:rPr>
        <w:t xml:space="preserve">: </w:t>
      </w:r>
    </w:p>
    <w:p w14:paraId="0601660C" w14:textId="77777777" w:rsidR="00AA770A" w:rsidRDefault="00000000">
      <w:pPr>
        <w:widowControl w:val="0"/>
        <w:pBdr>
          <w:top w:val="nil"/>
          <w:left w:val="nil"/>
          <w:bottom w:val="nil"/>
          <w:right w:val="nil"/>
          <w:between w:val="nil"/>
        </w:pBdr>
        <w:ind w:left="720"/>
        <w:rPr>
          <w:color w:val="000000"/>
        </w:rPr>
      </w:pPr>
      <w:r>
        <w:rPr>
          <w:rFonts w:ascii="Avenir" w:eastAsia="Avenir" w:hAnsi="Avenir" w:cs="Avenir"/>
          <w:color w:val="000000"/>
          <w:sz w:val="22"/>
          <w:szCs w:val="22"/>
        </w:rPr>
        <w:t xml:space="preserve">Prescriptions for acetaminophen with a narcotic and/or Ibuprofen 800 milligrams should be offered to the patient. Patients should be encouraged to fill the prescription/s in advance and to have the pain medications on hand to be taken as needed. </w:t>
      </w:r>
    </w:p>
    <w:p w14:paraId="7EB48045" w14:textId="77777777" w:rsidR="00AA770A" w:rsidRDefault="00AA770A">
      <w:pPr>
        <w:widowControl w:val="0"/>
        <w:pBdr>
          <w:top w:val="nil"/>
          <w:left w:val="nil"/>
          <w:bottom w:val="nil"/>
          <w:right w:val="nil"/>
          <w:between w:val="nil"/>
        </w:pBdr>
        <w:ind w:left="720"/>
        <w:rPr>
          <w:color w:val="000000"/>
        </w:rPr>
      </w:pPr>
    </w:p>
    <w:p w14:paraId="6DA9D3D2" w14:textId="77777777" w:rsidR="00AA770A" w:rsidRDefault="00000000">
      <w:pPr>
        <w:widowControl w:val="0"/>
        <w:pBdr>
          <w:top w:val="nil"/>
          <w:left w:val="nil"/>
          <w:bottom w:val="nil"/>
          <w:right w:val="nil"/>
          <w:between w:val="nil"/>
        </w:pBdr>
        <w:rPr>
          <w:rFonts w:ascii="Avenir" w:eastAsia="Avenir" w:hAnsi="Avenir" w:cs="Avenir"/>
          <w:color w:val="000000"/>
          <w:sz w:val="22"/>
          <w:szCs w:val="22"/>
        </w:rPr>
      </w:pPr>
      <w:r>
        <w:rPr>
          <w:rFonts w:ascii="Avenir" w:eastAsia="Avenir" w:hAnsi="Avenir" w:cs="Avenir"/>
          <w:b/>
          <w:color w:val="000000"/>
          <w:sz w:val="22"/>
          <w:szCs w:val="22"/>
        </w:rPr>
        <w:t xml:space="preserve">Make </w:t>
      </w:r>
      <w:r>
        <w:rPr>
          <w:rFonts w:ascii="Avenir" w:eastAsia="Avenir" w:hAnsi="Avenir" w:cs="Avenir"/>
          <w:b/>
          <w:sz w:val="22"/>
          <w:szCs w:val="22"/>
        </w:rPr>
        <w:t>sure the patient</w:t>
      </w:r>
      <w:r>
        <w:rPr>
          <w:rFonts w:ascii="Avenir" w:eastAsia="Avenir" w:hAnsi="Avenir" w:cs="Avenir"/>
          <w:b/>
          <w:color w:val="000000"/>
          <w:sz w:val="22"/>
          <w:szCs w:val="22"/>
        </w:rPr>
        <w:t xml:space="preserve"> knows how to </w:t>
      </w:r>
      <w:r>
        <w:rPr>
          <w:rFonts w:ascii="Avenir" w:eastAsia="Avenir" w:hAnsi="Avenir" w:cs="Avenir"/>
          <w:b/>
          <w:sz w:val="22"/>
          <w:szCs w:val="22"/>
        </w:rPr>
        <w:t>reach the clinician</w:t>
      </w:r>
      <w:r>
        <w:rPr>
          <w:rFonts w:ascii="Avenir" w:eastAsia="Avenir" w:hAnsi="Avenir" w:cs="Avenir"/>
          <w:b/>
          <w:color w:val="000000"/>
          <w:sz w:val="22"/>
          <w:szCs w:val="22"/>
        </w:rPr>
        <w:t xml:space="preserve"> on-call</w:t>
      </w:r>
      <w:r>
        <w:rPr>
          <w:rFonts w:ascii="Avenir" w:eastAsia="Avenir" w:hAnsi="Avenir" w:cs="Avenir"/>
          <w:color w:val="000000"/>
          <w:sz w:val="22"/>
          <w:szCs w:val="22"/>
        </w:rPr>
        <w:t xml:space="preserve">. </w:t>
      </w:r>
    </w:p>
    <w:p w14:paraId="78F35C06" w14:textId="77777777" w:rsidR="00AA770A" w:rsidRDefault="00000000">
      <w:pPr>
        <w:widowControl w:val="0"/>
        <w:pBdr>
          <w:top w:val="nil"/>
          <w:left w:val="nil"/>
          <w:bottom w:val="nil"/>
          <w:right w:val="nil"/>
          <w:between w:val="nil"/>
        </w:pBdr>
        <w:ind w:left="720"/>
        <w:rPr>
          <w:rFonts w:ascii="Avenir" w:eastAsia="Avenir" w:hAnsi="Avenir" w:cs="Avenir"/>
          <w:sz w:val="22"/>
          <w:szCs w:val="22"/>
        </w:rPr>
      </w:pPr>
      <w:r>
        <w:rPr>
          <w:rFonts w:ascii="Avenir" w:eastAsia="Avenir" w:hAnsi="Avenir" w:cs="Avenir"/>
          <w:color w:val="000000"/>
          <w:sz w:val="22"/>
          <w:szCs w:val="22"/>
        </w:rPr>
        <w:t xml:space="preserve">An information sheet with instructions about how to call or page the provider should be sent to each patient, and the information should be reviewed during the counseling to be sure they understand. </w:t>
      </w:r>
    </w:p>
    <w:p w14:paraId="2B1E3862" w14:textId="77777777" w:rsidR="00AA770A" w:rsidRDefault="00AA770A">
      <w:pPr>
        <w:widowControl w:val="0"/>
        <w:pBdr>
          <w:top w:val="nil"/>
          <w:left w:val="nil"/>
          <w:bottom w:val="nil"/>
          <w:right w:val="nil"/>
          <w:between w:val="nil"/>
        </w:pBdr>
        <w:rPr>
          <w:rFonts w:ascii="Avenir" w:eastAsia="Avenir" w:hAnsi="Avenir" w:cs="Avenir"/>
          <w:b/>
          <w:sz w:val="22"/>
          <w:szCs w:val="22"/>
        </w:rPr>
      </w:pPr>
    </w:p>
    <w:p w14:paraId="4165D826" w14:textId="77777777" w:rsidR="00AA770A" w:rsidRDefault="00000000">
      <w:pPr>
        <w:widowControl w:val="0"/>
        <w:pBdr>
          <w:top w:val="nil"/>
          <w:left w:val="nil"/>
          <w:bottom w:val="nil"/>
          <w:right w:val="nil"/>
          <w:between w:val="nil"/>
        </w:pBdr>
        <w:rPr>
          <w:rFonts w:ascii="Avenir" w:eastAsia="Avenir" w:hAnsi="Avenir" w:cs="Avenir"/>
          <w:b/>
          <w:sz w:val="22"/>
          <w:szCs w:val="22"/>
        </w:rPr>
      </w:pPr>
      <w:r>
        <w:rPr>
          <w:rFonts w:ascii="Avenir" w:eastAsia="Avenir" w:hAnsi="Avenir" w:cs="Avenir"/>
          <w:b/>
          <w:sz w:val="22"/>
          <w:szCs w:val="22"/>
        </w:rPr>
        <w:t>Follow-up is optional.</w:t>
      </w:r>
    </w:p>
    <w:p w14:paraId="6476B127" w14:textId="77777777" w:rsidR="00AA770A" w:rsidRDefault="00000000">
      <w:pPr>
        <w:widowControl w:val="0"/>
        <w:pBdr>
          <w:top w:val="nil"/>
          <w:left w:val="nil"/>
          <w:bottom w:val="nil"/>
          <w:right w:val="nil"/>
          <w:between w:val="nil"/>
        </w:pBdr>
        <w:ind w:left="720"/>
        <w:rPr>
          <w:rFonts w:ascii="Avenir" w:eastAsia="Avenir" w:hAnsi="Avenir" w:cs="Avenir"/>
          <w:sz w:val="22"/>
          <w:szCs w:val="22"/>
        </w:rPr>
      </w:pPr>
      <w:r>
        <w:rPr>
          <w:rFonts w:ascii="Avenir" w:eastAsia="Avenir" w:hAnsi="Avenir" w:cs="Avenir"/>
          <w:sz w:val="22"/>
          <w:szCs w:val="22"/>
        </w:rPr>
        <w:t xml:space="preserve">To assess the completeness of the abortion, clinicians may use any of the following criteria: </w:t>
      </w:r>
    </w:p>
    <w:p w14:paraId="387711BD" w14:textId="77777777" w:rsidR="00AA770A" w:rsidRDefault="00000000">
      <w:pPr>
        <w:widowControl w:val="0"/>
        <w:numPr>
          <w:ilvl w:val="0"/>
          <w:numId w:val="1"/>
        </w:numPr>
        <w:pBdr>
          <w:top w:val="nil"/>
          <w:left w:val="nil"/>
          <w:bottom w:val="nil"/>
          <w:right w:val="nil"/>
          <w:between w:val="nil"/>
        </w:pBdr>
        <w:rPr>
          <w:rFonts w:ascii="Avenir" w:eastAsia="Avenir" w:hAnsi="Avenir" w:cs="Avenir"/>
          <w:sz w:val="22"/>
          <w:szCs w:val="22"/>
        </w:rPr>
      </w:pPr>
      <w:r>
        <w:rPr>
          <w:rFonts w:ascii="Avenir" w:eastAsia="Avenir" w:hAnsi="Avenir" w:cs="Avenir"/>
          <w:sz w:val="22"/>
          <w:szCs w:val="22"/>
        </w:rPr>
        <w:t>history (patient’s description of bleeding - which should be at least as much as their menses – with cramping and passage of clots accompanied by resolution of any pregnancy symptoms); or</w:t>
      </w:r>
    </w:p>
    <w:p w14:paraId="4AF06111" w14:textId="77777777" w:rsidR="00AA770A" w:rsidRDefault="00000000">
      <w:pPr>
        <w:widowControl w:val="0"/>
        <w:numPr>
          <w:ilvl w:val="0"/>
          <w:numId w:val="1"/>
        </w:numPr>
        <w:pBdr>
          <w:top w:val="nil"/>
          <w:left w:val="nil"/>
          <w:bottom w:val="nil"/>
          <w:right w:val="nil"/>
          <w:between w:val="nil"/>
        </w:pBdr>
        <w:rPr>
          <w:rFonts w:ascii="Avenir" w:eastAsia="Avenir" w:hAnsi="Avenir" w:cs="Avenir"/>
          <w:sz w:val="22"/>
          <w:szCs w:val="22"/>
        </w:rPr>
      </w:pPr>
      <w:r>
        <w:rPr>
          <w:rFonts w:ascii="Avenir" w:eastAsia="Avenir" w:hAnsi="Avenir" w:cs="Avenir"/>
          <w:sz w:val="22"/>
          <w:szCs w:val="22"/>
        </w:rPr>
        <w:t xml:space="preserve">declining serum </w:t>
      </w:r>
      <w:proofErr w:type="spellStart"/>
      <w:r>
        <w:rPr>
          <w:rFonts w:ascii="Avenir" w:eastAsia="Avenir" w:hAnsi="Avenir" w:cs="Avenir"/>
          <w:sz w:val="22"/>
          <w:szCs w:val="22"/>
        </w:rPr>
        <w:t>bhCG</w:t>
      </w:r>
      <w:proofErr w:type="spellEnd"/>
      <w:r>
        <w:rPr>
          <w:rFonts w:ascii="Avenir" w:eastAsia="Avenir" w:hAnsi="Avenir" w:cs="Avenir"/>
          <w:sz w:val="22"/>
          <w:szCs w:val="22"/>
        </w:rPr>
        <w:t xml:space="preserve"> levels (by more than 80% at one week after the bleeding); or </w:t>
      </w:r>
    </w:p>
    <w:p w14:paraId="02C8A81D" w14:textId="77777777" w:rsidR="00AA770A" w:rsidRDefault="00000000">
      <w:pPr>
        <w:widowControl w:val="0"/>
        <w:numPr>
          <w:ilvl w:val="0"/>
          <w:numId w:val="1"/>
        </w:numPr>
        <w:pBdr>
          <w:top w:val="nil"/>
          <w:left w:val="nil"/>
          <w:bottom w:val="nil"/>
          <w:right w:val="nil"/>
          <w:between w:val="nil"/>
        </w:pBdr>
        <w:rPr>
          <w:rFonts w:ascii="Avenir" w:eastAsia="Avenir" w:hAnsi="Avenir" w:cs="Avenir"/>
          <w:sz w:val="22"/>
          <w:szCs w:val="22"/>
        </w:rPr>
      </w:pPr>
      <w:r>
        <w:rPr>
          <w:rFonts w:ascii="Avenir" w:eastAsia="Avenir" w:hAnsi="Avenir" w:cs="Avenir"/>
          <w:sz w:val="22"/>
          <w:szCs w:val="22"/>
        </w:rPr>
        <w:t>ultrasound; or</w:t>
      </w:r>
    </w:p>
    <w:p w14:paraId="66E61954" w14:textId="77777777" w:rsidR="00AA770A" w:rsidRDefault="00000000">
      <w:pPr>
        <w:widowControl w:val="0"/>
        <w:numPr>
          <w:ilvl w:val="0"/>
          <w:numId w:val="1"/>
        </w:numPr>
        <w:pBdr>
          <w:top w:val="nil"/>
          <w:left w:val="nil"/>
          <w:bottom w:val="nil"/>
          <w:right w:val="nil"/>
          <w:between w:val="nil"/>
        </w:pBdr>
        <w:rPr>
          <w:rFonts w:ascii="Avenir" w:eastAsia="Avenir" w:hAnsi="Avenir" w:cs="Avenir"/>
          <w:sz w:val="22"/>
          <w:szCs w:val="22"/>
        </w:rPr>
      </w:pPr>
      <w:r>
        <w:rPr>
          <w:rFonts w:ascii="Avenir" w:eastAsia="Avenir" w:hAnsi="Avenir" w:cs="Avenir"/>
          <w:sz w:val="22"/>
          <w:szCs w:val="22"/>
        </w:rPr>
        <w:t>negative home pregnancy test 4 weeks after mifepristone.</w:t>
      </w:r>
      <w:r>
        <w:rPr>
          <w:rFonts w:ascii="Avenir" w:eastAsia="Avenir" w:hAnsi="Avenir" w:cs="Avenir"/>
          <w:sz w:val="22"/>
          <w:szCs w:val="22"/>
          <w:vertAlign w:val="superscript"/>
        </w:rPr>
        <w:footnoteReference w:id="11"/>
      </w:r>
      <w:r>
        <w:rPr>
          <w:rFonts w:ascii="Avenir" w:eastAsia="Avenir" w:hAnsi="Avenir" w:cs="Avenir"/>
          <w:sz w:val="22"/>
          <w:szCs w:val="22"/>
          <w:vertAlign w:val="superscript"/>
        </w:rPr>
        <w:t>,</w:t>
      </w:r>
      <w:r>
        <w:rPr>
          <w:rFonts w:ascii="Avenir" w:eastAsia="Avenir" w:hAnsi="Avenir" w:cs="Avenir"/>
          <w:sz w:val="22"/>
          <w:szCs w:val="22"/>
          <w:vertAlign w:val="superscript"/>
        </w:rPr>
        <w:footnoteReference w:id="12"/>
      </w:r>
      <w:r>
        <w:rPr>
          <w:rFonts w:ascii="Avenir" w:eastAsia="Avenir" w:hAnsi="Avenir" w:cs="Avenir"/>
          <w:sz w:val="22"/>
          <w:szCs w:val="22"/>
        </w:rPr>
        <w:t xml:space="preserve"> </w:t>
      </w:r>
    </w:p>
    <w:p w14:paraId="24669F95" w14:textId="77777777" w:rsidR="00AA770A" w:rsidRDefault="00AA770A">
      <w:pPr>
        <w:widowControl w:val="0"/>
        <w:pBdr>
          <w:top w:val="nil"/>
          <w:left w:val="nil"/>
          <w:bottom w:val="nil"/>
          <w:right w:val="nil"/>
          <w:between w:val="nil"/>
        </w:pBdr>
        <w:rPr>
          <w:rFonts w:ascii="Avenir" w:eastAsia="Avenir" w:hAnsi="Avenir" w:cs="Avenir"/>
          <w:sz w:val="22"/>
          <w:szCs w:val="22"/>
        </w:rPr>
      </w:pPr>
    </w:p>
    <w:p w14:paraId="1004EF79" w14:textId="77777777" w:rsidR="00AA770A" w:rsidRDefault="00000000">
      <w:pPr>
        <w:widowControl w:val="0"/>
        <w:pBdr>
          <w:top w:val="nil"/>
          <w:left w:val="nil"/>
          <w:bottom w:val="nil"/>
          <w:right w:val="nil"/>
          <w:between w:val="nil"/>
        </w:pBdr>
        <w:ind w:left="720"/>
        <w:rPr>
          <w:color w:val="000000"/>
        </w:rPr>
      </w:pPr>
      <w:r>
        <w:rPr>
          <w:rFonts w:ascii="Avenir" w:eastAsia="Avenir" w:hAnsi="Avenir" w:cs="Avenir"/>
          <w:sz w:val="22"/>
          <w:szCs w:val="22"/>
        </w:rPr>
        <w:t xml:space="preserve">If an at-home pregnancy test is still positive after 4 weeks after taking mifepristone, a repeat pregnancy test should be performed in office. If pregnancy is ongoing, i.e. a rising </w:t>
      </w:r>
      <w:proofErr w:type="spellStart"/>
      <w:r>
        <w:rPr>
          <w:rFonts w:ascii="Avenir" w:eastAsia="Avenir" w:hAnsi="Avenir" w:cs="Avenir"/>
          <w:sz w:val="22"/>
          <w:szCs w:val="22"/>
        </w:rPr>
        <w:t>bhCG</w:t>
      </w:r>
      <w:proofErr w:type="spellEnd"/>
      <w:r>
        <w:rPr>
          <w:rFonts w:ascii="Avenir" w:eastAsia="Avenir" w:hAnsi="Avenir" w:cs="Avenir"/>
          <w:sz w:val="22"/>
          <w:szCs w:val="22"/>
        </w:rPr>
        <w:t xml:space="preserve"> or an ultrasound with a growing pregnancy, an aspiration procedure can be performed. If the abortion is incomplete (i.e. an ultrasound showing no interval growth and no fetal cardiac activity, but with retained tissue and continued bleeding), the patient can choose a repeat dose of misoprostol or an aspiration procedure. If the pregnancy was being followed by quant </w:t>
      </w:r>
      <w:proofErr w:type="spellStart"/>
      <w:r>
        <w:rPr>
          <w:rFonts w:ascii="Avenir" w:eastAsia="Avenir" w:hAnsi="Avenir" w:cs="Avenir"/>
          <w:sz w:val="22"/>
          <w:szCs w:val="22"/>
        </w:rPr>
        <w:t>hCGs</w:t>
      </w:r>
      <w:proofErr w:type="spellEnd"/>
      <w:r>
        <w:rPr>
          <w:rFonts w:ascii="Avenir" w:eastAsia="Avenir" w:hAnsi="Avenir" w:cs="Avenir"/>
          <w:sz w:val="22"/>
          <w:szCs w:val="22"/>
        </w:rPr>
        <w:t xml:space="preserve"> and levels did not fall as expected, an urgent ultrasound should be obtained to assess for failed abortion vs ectopic pregnancy. </w:t>
      </w:r>
    </w:p>
    <w:p w14:paraId="2863AE5B" w14:textId="77777777" w:rsidR="00AA770A" w:rsidRDefault="00AA770A">
      <w:pPr>
        <w:widowControl w:val="0"/>
        <w:pBdr>
          <w:top w:val="nil"/>
          <w:left w:val="nil"/>
          <w:bottom w:val="nil"/>
          <w:right w:val="nil"/>
          <w:between w:val="nil"/>
        </w:pBdr>
        <w:rPr>
          <w:color w:val="000000"/>
        </w:rPr>
      </w:pPr>
    </w:p>
    <w:p w14:paraId="132491C8" w14:textId="77777777" w:rsidR="00AA770A" w:rsidRDefault="00000000">
      <w:pPr>
        <w:widowControl w:val="0"/>
        <w:pBdr>
          <w:top w:val="nil"/>
          <w:left w:val="nil"/>
          <w:bottom w:val="nil"/>
          <w:right w:val="nil"/>
          <w:between w:val="nil"/>
        </w:pBdr>
        <w:rPr>
          <w:rFonts w:ascii="Avenir" w:eastAsia="Avenir" w:hAnsi="Avenir" w:cs="Avenir"/>
          <w:color w:val="000000"/>
          <w:sz w:val="22"/>
          <w:szCs w:val="22"/>
        </w:rPr>
      </w:pPr>
      <w:bookmarkStart w:id="0" w:name="_heading=h.gjdgxs" w:colFirst="0" w:colLast="0"/>
      <w:bookmarkEnd w:id="0"/>
      <w:r>
        <w:rPr>
          <w:rFonts w:ascii="Avenir" w:eastAsia="Avenir" w:hAnsi="Avenir" w:cs="Avenir"/>
          <w:b/>
          <w:color w:val="000000"/>
          <w:sz w:val="22"/>
          <w:szCs w:val="22"/>
        </w:rPr>
        <w:t>Review plans for post-abortion contraception:</w:t>
      </w:r>
      <w:r>
        <w:rPr>
          <w:rFonts w:ascii="Avenir" w:eastAsia="Avenir" w:hAnsi="Avenir" w:cs="Avenir"/>
          <w:color w:val="000000"/>
          <w:sz w:val="22"/>
          <w:szCs w:val="22"/>
        </w:rPr>
        <w:t xml:space="preserve"> </w:t>
      </w:r>
    </w:p>
    <w:p w14:paraId="07BFFDCA" w14:textId="77777777" w:rsidR="00AA770A" w:rsidRDefault="00000000">
      <w:pPr>
        <w:widowControl w:val="0"/>
        <w:pBdr>
          <w:top w:val="nil"/>
          <w:left w:val="nil"/>
          <w:bottom w:val="nil"/>
          <w:right w:val="nil"/>
          <w:between w:val="nil"/>
        </w:pBdr>
        <w:ind w:left="720"/>
        <w:rPr>
          <w:color w:val="000000"/>
        </w:rPr>
      </w:pPr>
      <w:bookmarkStart w:id="1" w:name="_heading=h.ydn7anqispo1" w:colFirst="0" w:colLast="0"/>
      <w:bookmarkStart w:id="2" w:name="_heading=h.gqhui8u1r3x7" w:colFirst="0" w:colLast="0"/>
      <w:bookmarkEnd w:id="1"/>
      <w:bookmarkEnd w:id="2"/>
      <w:r>
        <w:rPr>
          <w:rFonts w:ascii="Avenir" w:eastAsia="Avenir" w:hAnsi="Avenir" w:cs="Avenir"/>
          <w:color w:val="000000"/>
          <w:sz w:val="22"/>
          <w:szCs w:val="22"/>
        </w:rPr>
        <w:t xml:space="preserve">Patients who choose combination hormonal contraceptives (oral, patch, ring) may begin the method as soon as the next day or on the most convenient day after taking misoprostol – even if bleeding persists. </w:t>
      </w:r>
      <w:r>
        <w:rPr>
          <w:rFonts w:ascii="Avenir" w:eastAsia="Avenir" w:hAnsi="Avenir" w:cs="Avenir"/>
          <w:sz w:val="22"/>
          <w:szCs w:val="22"/>
        </w:rPr>
        <w:t>DMPA</w:t>
      </w:r>
      <w:r>
        <w:rPr>
          <w:rFonts w:ascii="Avenir" w:eastAsia="Avenir" w:hAnsi="Avenir" w:cs="Avenir"/>
          <w:color w:val="000000"/>
          <w:sz w:val="22"/>
          <w:szCs w:val="22"/>
        </w:rPr>
        <w:t xml:space="preserve"> (</w:t>
      </w:r>
      <w:proofErr w:type="spellStart"/>
      <w:r>
        <w:rPr>
          <w:rFonts w:ascii="Avenir" w:eastAsia="Avenir" w:hAnsi="Avenir" w:cs="Avenir"/>
          <w:color w:val="000000"/>
          <w:sz w:val="22"/>
          <w:szCs w:val="22"/>
        </w:rPr>
        <w:t>depo-provera</w:t>
      </w:r>
      <w:proofErr w:type="spellEnd"/>
      <w:r>
        <w:rPr>
          <w:rFonts w:ascii="Avenir" w:eastAsia="Avenir" w:hAnsi="Avenir" w:cs="Avenir"/>
          <w:color w:val="000000"/>
          <w:sz w:val="22"/>
          <w:szCs w:val="22"/>
        </w:rPr>
        <w:t xml:space="preserve">) may be prescribed for </w:t>
      </w:r>
      <w:r>
        <w:rPr>
          <w:rFonts w:ascii="Avenir" w:eastAsia="Avenir" w:hAnsi="Avenir" w:cs="Avenir"/>
          <w:color w:val="000000"/>
          <w:sz w:val="22"/>
          <w:szCs w:val="22"/>
        </w:rPr>
        <w:lastRenderedPageBreak/>
        <w:t xml:space="preserve">self-administered subcutaneous use. The implant or IUD insertion can take place at a follow-up visit if desired and a bridge method can be prescribed until that time. As soon as patients feel comfortable, they can resume using tampons </w:t>
      </w:r>
      <w:r>
        <w:rPr>
          <w:rFonts w:ascii="Avenir" w:eastAsia="Avenir" w:hAnsi="Avenir" w:cs="Avenir"/>
          <w:sz w:val="22"/>
          <w:szCs w:val="22"/>
        </w:rPr>
        <w:t xml:space="preserve">and having penetrative vaginal intercourse. </w:t>
      </w:r>
      <w:r>
        <w:rPr>
          <w:rFonts w:ascii="Avenir" w:eastAsia="Avenir" w:hAnsi="Avenir" w:cs="Avenir"/>
          <w:color w:val="000000"/>
          <w:sz w:val="22"/>
          <w:szCs w:val="22"/>
        </w:rPr>
        <w:t xml:space="preserve">Patients who choose </w:t>
      </w:r>
      <w:r>
        <w:rPr>
          <w:rFonts w:ascii="Avenir" w:eastAsia="Avenir" w:hAnsi="Avenir" w:cs="Avenir"/>
          <w:sz w:val="22"/>
          <w:szCs w:val="22"/>
        </w:rPr>
        <w:t>sterilization</w:t>
      </w:r>
      <w:r>
        <w:rPr>
          <w:rFonts w:ascii="Avenir" w:eastAsia="Avenir" w:hAnsi="Avenir" w:cs="Avenir"/>
          <w:color w:val="000000"/>
          <w:sz w:val="22"/>
          <w:szCs w:val="22"/>
        </w:rPr>
        <w:t xml:space="preserve"> should be referred as appropriate to avoid delays, with a bridge method for the wait time.</w:t>
      </w:r>
    </w:p>
    <w:p w14:paraId="6B77F08B" w14:textId="77777777" w:rsidR="00AA770A" w:rsidRDefault="00AA770A">
      <w:pPr>
        <w:widowControl w:val="0"/>
        <w:pBdr>
          <w:top w:val="nil"/>
          <w:left w:val="nil"/>
          <w:bottom w:val="nil"/>
          <w:right w:val="nil"/>
          <w:between w:val="nil"/>
        </w:pBdr>
        <w:rPr>
          <w:color w:val="000000"/>
        </w:rPr>
      </w:pPr>
    </w:p>
    <w:p w14:paraId="7353ED3E" w14:textId="77777777" w:rsidR="00AA770A" w:rsidRDefault="00000000">
      <w:pPr>
        <w:widowControl w:val="0"/>
        <w:pBdr>
          <w:top w:val="nil"/>
          <w:left w:val="nil"/>
          <w:bottom w:val="nil"/>
          <w:right w:val="nil"/>
          <w:between w:val="nil"/>
        </w:pBdr>
        <w:rPr>
          <w:color w:val="000000"/>
        </w:rPr>
      </w:pPr>
      <w:r>
        <w:rPr>
          <w:rFonts w:ascii="Avenir" w:eastAsia="Avenir" w:hAnsi="Avenir" w:cs="Avenir"/>
          <w:b/>
          <w:color w:val="000000"/>
          <w:sz w:val="22"/>
          <w:szCs w:val="22"/>
        </w:rPr>
        <w:t>Further follow-up</w:t>
      </w:r>
    </w:p>
    <w:p w14:paraId="16BFAC75" w14:textId="77777777" w:rsidR="00AA770A" w:rsidRDefault="00000000">
      <w:pPr>
        <w:widowControl w:val="0"/>
        <w:pBdr>
          <w:top w:val="nil"/>
          <w:left w:val="nil"/>
          <w:bottom w:val="nil"/>
          <w:right w:val="nil"/>
          <w:between w:val="nil"/>
        </w:pBdr>
        <w:ind w:left="720"/>
        <w:rPr>
          <w:color w:val="000000"/>
        </w:rPr>
      </w:pPr>
      <w:r>
        <w:rPr>
          <w:rFonts w:ascii="Avenir" w:eastAsia="Avenir" w:hAnsi="Avenir" w:cs="Avenir"/>
          <w:color w:val="000000"/>
          <w:sz w:val="22"/>
          <w:szCs w:val="22"/>
        </w:rPr>
        <w:t xml:space="preserve">Patients should be instructed to call or return if bleeding persists beyond 4 weeks or becomes heavy again. </w:t>
      </w:r>
    </w:p>
    <w:sectPr w:rsidR="00AA770A">
      <w:headerReference w:type="even" r:id="rId10"/>
      <w:headerReference w:type="default" r:id="rId11"/>
      <w:footerReference w:type="even" r:id="rId12"/>
      <w:footerReference w:type="default" r:id="rId13"/>
      <w:headerReference w:type="first" r:id="rId14"/>
      <w:footerReference w:type="first" r:id="rId15"/>
      <w:pgSz w:w="12240" w:h="15840"/>
      <w:pgMar w:top="135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60D613" w14:textId="77777777" w:rsidR="00424433" w:rsidRDefault="00424433">
      <w:r>
        <w:separator/>
      </w:r>
    </w:p>
  </w:endnote>
  <w:endnote w:type="continuationSeparator" w:id="0">
    <w:p w14:paraId="0CABA49A" w14:textId="77777777" w:rsidR="00424433" w:rsidRDefault="004244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6CC436BF-7DF5-FB4A-84F2-DEB40F6EDD27}"/>
    <w:embedBold r:id="rId2" w:fontKey="{F84669C2-969E-574A-B4A6-3D7CF1F8478B}"/>
  </w:font>
  <w:font w:name="Symbol">
    <w:panose1 w:val="05050102010706020507"/>
    <w:charset w:val="02"/>
    <w:family w:val="decorative"/>
    <w:pitch w:val="variable"/>
    <w:sig w:usb0="00000000" w:usb1="10000000" w:usb2="00000000" w:usb3="00000000" w:csb0="80000000" w:csb1="00000000"/>
    <w:embedRegular r:id="rId3" w:fontKey="{8B2CA7F1-9400-264B-9062-4FA0097C0CE8}"/>
  </w:font>
  <w:font w:name="Courier New">
    <w:panose1 w:val="02070309020205020404"/>
    <w:charset w:val="00"/>
    <w:family w:val="modern"/>
    <w:pitch w:val="fixed"/>
    <w:sig w:usb0="E0002EFF" w:usb1="C0007843" w:usb2="00000009" w:usb3="00000000" w:csb0="000001FF" w:csb1="00000000"/>
    <w:embedRegular r:id="rId4" w:fontKey="{4F0967D8-5144-8A41-8D64-57C091699B58}"/>
  </w:font>
  <w:font w:name="Wingdings">
    <w:panose1 w:val="05000000000000000000"/>
    <w:charset w:val="4D"/>
    <w:family w:val="decorative"/>
    <w:pitch w:val="variable"/>
    <w:sig w:usb0="00000003" w:usb1="00000000" w:usb2="00000000" w:usb3="00000000" w:csb0="80000001" w:csb1="00000000"/>
    <w:embedRegular r:id="rId5" w:fontKey="{042A48FC-2671-C742-A654-1C4BC4A21814}"/>
  </w:font>
  <w:font w:name="Georgia">
    <w:panose1 w:val="02040502050405020303"/>
    <w:charset w:val="00"/>
    <w:family w:val="roman"/>
    <w:pitch w:val="variable"/>
    <w:sig w:usb0="00000287" w:usb1="00000000" w:usb2="00000000" w:usb3="00000000" w:csb0="0000009F" w:csb1="00000000"/>
    <w:embedRegular r:id="rId6" w:fontKey="{EEC82DA1-4571-F741-BE1F-5752B5040860}"/>
    <w:embedItalic r:id="rId7" w:fontKey="{CE2E5D6A-BAA7-FB43-BDD6-AB5D12DF5876}"/>
  </w:font>
  <w:font w:name="Avenir">
    <w:panose1 w:val="02000503020000020003"/>
    <w:charset w:val="4D"/>
    <w:family w:val="swiss"/>
    <w:pitch w:val="variable"/>
    <w:sig w:usb0="800000AF" w:usb1="5000204A" w:usb2="00000000" w:usb3="00000000" w:csb0="0000009B" w:csb1="00000000"/>
    <w:embedRegular r:id="rId8" w:fontKey="{49536DC3-39FE-174B-9662-760BE653C822}"/>
    <w:embedBold r:id="rId9" w:fontKey="{B4F7142B-B723-E942-9976-2BF3B42E3DDF}"/>
    <w:embedItalic r:id="rId10" w:fontKey="{3F2ADAA2-8D03-664A-AD4B-F7A0712B98E0}"/>
  </w:font>
  <w:font w:name="Avenir Book">
    <w:panose1 w:val="02000503020000020003"/>
    <w:charset w:val="00"/>
    <w:family w:val="auto"/>
    <w:pitch w:val="variable"/>
    <w:sig w:usb0="800000AF" w:usb1="5000204A" w:usb2="00000000" w:usb3="00000000" w:csb0="0000009B" w:csb1="00000000"/>
    <w:embedRegular r:id="rId11" w:fontKey="{4F827834-AEEE-1245-987A-30FE4B83FFC9}"/>
    <w:embedItalic r:id="rId12" w:fontKey="{B5556C80-40C4-1C42-BC7D-19257D45DC10}"/>
  </w:font>
  <w:font w:name="Calibri">
    <w:panose1 w:val="020F0502020204030204"/>
    <w:charset w:val="00"/>
    <w:family w:val="swiss"/>
    <w:pitch w:val="variable"/>
    <w:sig w:usb0="E0002AFF" w:usb1="C000247B" w:usb2="00000009" w:usb3="00000000" w:csb0="000001FF" w:csb1="00000000"/>
    <w:embedRegular r:id="rId13" w:fontKey="{A0173DA3-3355-F44C-A40F-583C061D451A}"/>
  </w:font>
  <w:font w:name="Cambria">
    <w:panose1 w:val="02040503050406030204"/>
    <w:charset w:val="00"/>
    <w:family w:val="roman"/>
    <w:pitch w:val="variable"/>
    <w:sig w:usb0="E00002FF" w:usb1="400004FF" w:usb2="00000000" w:usb3="00000000" w:csb0="0000019F" w:csb1="00000000"/>
    <w:embedRegular r:id="rId14" w:fontKey="{CCBF048B-D3BE-FE42-8049-413EB7DC14A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C93706" w14:textId="77777777" w:rsidR="00AA770A" w:rsidRDefault="00AA770A">
    <w:pPr>
      <w:pBdr>
        <w:top w:val="nil"/>
        <w:left w:val="nil"/>
        <w:bottom w:val="nil"/>
        <w:right w:val="nil"/>
        <w:between w:val="nil"/>
      </w:pBdr>
      <w:tabs>
        <w:tab w:val="center" w:pos="4680"/>
        <w:tab w:val="right" w:pos="936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719F87" w14:textId="77777777" w:rsidR="00AA770A" w:rsidRDefault="00AA770A">
    <w:pPr>
      <w:pBdr>
        <w:top w:val="nil"/>
        <w:left w:val="nil"/>
        <w:bottom w:val="nil"/>
        <w:right w:val="nil"/>
        <w:between w:val="nil"/>
      </w:pBdr>
      <w:tabs>
        <w:tab w:val="center" w:pos="4320"/>
        <w:tab w:val="right" w:pos="8640"/>
      </w:tabs>
      <w:jc w:val="center"/>
      <w:rPr>
        <w:color w:val="000000"/>
      </w:rPr>
    </w:pPr>
  </w:p>
  <w:p w14:paraId="4A01CF0B" w14:textId="4623C37D" w:rsidR="00AA770A" w:rsidRDefault="00E348A9">
    <w:pPr>
      <w:pBdr>
        <w:top w:val="nil"/>
        <w:left w:val="nil"/>
        <w:bottom w:val="nil"/>
        <w:right w:val="nil"/>
        <w:between w:val="nil"/>
      </w:pBdr>
      <w:tabs>
        <w:tab w:val="center" w:pos="4320"/>
        <w:tab w:val="right" w:pos="8640"/>
      </w:tabs>
      <w:spacing w:after="720"/>
      <w:rPr>
        <w:color w:val="000000"/>
        <w:sz w:val="20"/>
        <w:szCs w:val="20"/>
      </w:rPr>
    </w:pPr>
    <w:r>
      <w:rPr>
        <w:rFonts w:ascii="Avenir" w:eastAsia="Avenir" w:hAnsi="Avenir" w:cs="Avenir"/>
        <w:sz w:val="20"/>
        <w:szCs w:val="20"/>
      </w:rPr>
      <w:t>February 2023</w:t>
    </w:r>
    <w:r w:rsidR="00000000">
      <w:rPr>
        <w:rFonts w:ascii="Avenir" w:eastAsia="Avenir" w:hAnsi="Avenir" w:cs="Avenir"/>
        <w:color w:val="000000"/>
        <w:sz w:val="20"/>
        <w:szCs w:val="20"/>
      </w:rPr>
      <w:t xml:space="preserve"> / www.reproductiveaccess.org</w:t>
    </w:r>
    <w:r w:rsidR="00000000">
      <w:rPr>
        <w:rFonts w:ascii="Avenir" w:eastAsia="Avenir" w:hAnsi="Avenir" w:cs="Avenir"/>
        <w:color w:val="000000"/>
        <w:sz w:val="20"/>
        <w:szCs w:val="20"/>
      </w:rPr>
      <w:tab/>
    </w:r>
    <w:r w:rsidR="00000000">
      <w:rPr>
        <w:noProof/>
      </w:rPr>
      <w:drawing>
        <wp:anchor distT="0" distB="0" distL="114300" distR="114300" simplePos="0" relativeHeight="251658240" behindDoc="0" locked="0" layoutInCell="1" hidden="0" allowOverlap="1" wp14:anchorId="5901DB8A" wp14:editId="37502163">
          <wp:simplePos x="0" y="0"/>
          <wp:positionH relativeFrom="column">
            <wp:posOffset>5186680</wp:posOffset>
          </wp:positionH>
          <wp:positionV relativeFrom="paragraph">
            <wp:posOffset>-85087</wp:posOffset>
          </wp:positionV>
          <wp:extent cx="989330" cy="487680"/>
          <wp:effectExtent l="0" t="0" r="0" b="0"/>
          <wp:wrapSquare wrapText="bothSides" distT="0" distB="0" distL="114300" distR="11430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989330" cy="487680"/>
                  </a:xfrm>
                  <a:prstGeom prst="rect">
                    <a:avLst/>
                  </a:prstGeom>
                  <a:ln/>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5264FD" w14:textId="77777777" w:rsidR="00AA770A" w:rsidRDefault="00AA770A">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14612D" w14:textId="77777777" w:rsidR="00424433" w:rsidRDefault="00424433">
      <w:r>
        <w:separator/>
      </w:r>
    </w:p>
  </w:footnote>
  <w:footnote w:type="continuationSeparator" w:id="0">
    <w:p w14:paraId="29DBAC97" w14:textId="77777777" w:rsidR="00424433" w:rsidRDefault="00424433">
      <w:r>
        <w:continuationSeparator/>
      </w:r>
    </w:p>
  </w:footnote>
  <w:footnote w:id="1">
    <w:p w14:paraId="625AC2A5" w14:textId="77777777" w:rsidR="00AA770A" w:rsidRPr="005F6496" w:rsidRDefault="00000000">
      <w:pPr>
        <w:pBdr>
          <w:top w:val="nil"/>
          <w:left w:val="nil"/>
          <w:bottom w:val="nil"/>
          <w:right w:val="nil"/>
          <w:between w:val="nil"/>
        </w:pBdr>
        <w:rPr>
          <w:rFonts w:ascii="Avenir Book" w:eastAsia="Avenir" w:hAnsi="Avenir Book" w:cs="Avenir"/>
          <w:color w:val="000000"/>
          <w:sz w:val="18"/>
          <w:szCs w:val="18"/>
        </w:rPr>
      </w:pPr>
      <w:r w:rsidRPr="005F6496">
        <w:rPr>
          <w:rFonts w:ascii="Avenir Book" w:hAnsi="Avenir Book"/>
          <w:sz w:val="18"/>
          <w:szCs w:val="18"/>
          <w:vertAlign w:val="superscript"/>
        </w:rPr>
        <w:footnoteRef/>
      </w:r>
      <w:r w:rsidRPr="005F6496">
        <w:rPr>
          <w:rFonts w:ascii="Avenir Book" w:eastAsia="Avenir" w:hAnsi="Avenir Book" w:cs="Avenir"/>
          <w:color w:val="000000"/>
          <w:sz w:val="18"/>
          <w:szCs w:val="18"/>
        </w:rPr>
        <w:t xml:space="preserve"> </w:t>
      </w:r>
      <w:proofErr w:type="spellStart"/>
      <w:r w:rsidRPr="005F6496">
        <w:rPr>
          <w:rFonts w:ascii="Avenir Book" w:eastAsia="Avenir" w:hAnsi="Avenir Book" w:cs="Avenir"/>
          <w:color w:val="222222"/>
          <w:sz w:val="18"/>
          <w:szCs w:val="18"/>
          <w:highlight w:val="white"/>
        </w:rPr>
        <w:t>Dzuba</w:t>
      </w:r>
      <w:proofErr w:type="spellEnd"/>
      <w:r w:rsidRPr="005F6496">
        <w:rPr>
          <w:rFonts w:ascii="Avenir Book" w:eastAsia="Avenir" w:hAnsi="Avenir Book" w:cs="Avenir"/>
          <w:color w:val="222222"/>
          <w:sz w:val="18"/>
          <w:szCs w:val="18"/>
          <w:highlight w:val="white"/>
        </w:rPr>
        <w:t xml:space="preserve">, Ilana G., et al. "A non-inferiority study of outpatient mifepristone-misoprostol medical abortion at 64–70 days and 71–77 days of gestation." </w:t>
      </w:r>
      <w:r w:rsidRPr="005F6496">
        <w:rPr>
          <w:rFonts w:ascii="Avenir Book" w:eastAsia="Avenir" w:hAnsi="Avenir Book" w:cs="Avenir"/>
          <w:i/>
          <w:color w:val="222222"/>
          <w:sz w:val="18"/>
          <w:szCs w:val="18"/>
          <w:highlight w:val="white"/>
        </w:rPr>
        <w:t>Contraception</w:t>
      </w:r>
      <w:r w:rsidRPr="005F6496">
        <w:rPr>
          <w:rFonts w:ascii="Avenir Book" w:eastAsia="Avenir" w:hAnsi="Avenir Book" w:cs="Avenir"/>
          <w:color w:val="222222"/>
          <w:sz w:val="18"/>
          <w:szCs w:val="18"/>
          <w:highlight w:val="white"/>
        </w:rPr>
        <w:t xml:space="preserve"> (2020).</w:t>
      </w:r>
    </w:p>
  </w:footnote>
  <w:footnote w:id="2">
    <w:p w14:paraId="4EEA2F46" w14:textId="77777777" w:rsidR="00AA770A" w:rsidRPr="005F6496" w:rsidRDefault="00000000">
      <w:pPr>
        <w:rPr>
          <w:rFonts w:ascii="Avenir Book" w:eastAsia="Avenir" w:hAnsi="Avenir Book" w:cs="Avenir"/>
          <w:sz w:val="18"/>
          <w:szCs w:val="18"/>
        </w:rPr>
      </w:pPr>
      <w:r w:rsidRPr="005F6496">
        <w:rPr>
          <w:rFonts w:ascii="Avenir Book" w:hAnsi="Avenir Book"/>
          <w:sz w:val="18"/>
          <w:szCs w:val="18"/>
          <w:vertAlign w:val="superscript"/>
        </w:rPr>
        <w:footnoteRef/>
      </w:r>
      <w:r w:rsidRPr="005F6496">
        <w:rPr>
          <w:rFonts w:ascii="Avenir Book" w:eastAsia="Calibri" w:hAnsi="Avenir Book" w:cs="Calibri"/>
          <w:sz w:val="18"/>
          <w:szCs w:val="18"/>
        </w:rPr>
        <w:t xml:space="preserve"> </w:t>
      </w:r>
      <w:r w:rsidRPr="005F6496">
        <w:rPr>
          <w:rFonts w:ascii="Avenir Book" w:eastAsia="Avenir" w:hAnsi="Avenir Book" w:cs="Avenir"/>
          <w:sz w:val="18"/>
          <w:szCs w:val="18"/>
        </w:rPr>
        <w:t>Guttmacher Institute. “Medication Abortion.” (2022). https://www.guttmacher.org/state-policy/explore/medication-abortion</w:t>
      </w:r>
    </w:p>
  </w:footnote>
  <w:footnote w:id="3">
    <w:p w14:paraId="09246986" w14:textId="77777777" w:rsidR="00AA770A" w:rsidRPr="005F6496" w:rsidRDefault="00000000">
      <w:pPr>
        <w:pBdr>
          <w:top w:val="nil"/>
          <w:left w:val="nil"/>
          <w:bottom w:val="nil"/>
          <w:right w:val="nil"/>
          <w:between w:val="nil"/>
        </w:pBdr>
        <w:rPr>
          <w:rFonts w:ascii="Avenir Book" w:eastAsia="Avenir" w:hAnsi="Avenir Book" w:cs="Avenir"/>
          <w:color w:val="000000"/>
          <w:sz w:val="18"/>
          <w:szCs w:val="18"/>
        </w:rPr>
      </w:pPr>
      <w:r w:rsidRPr="005F6496">
        <w:rPr>
          <w:rFonts w:ascii="Avenir Book" w:hAnsi="Avenir Book"/>
          <w:sz w:val="18"/>
          <w:szCs w:val="18"/>
          <w:vertAlign w:val="superscript"/>
        </w:rPr>
        <w:footnoteRef/>
      </w:r>
      <w:r w:rsidRPr="005F6496">
        <w:rPr>
          <w:rFonts w:ascii="Avenir Book" w:eastAsia="Avenir" w:hAnsi="Avenir Book" w:cs="Avenir"/>
          <w:color w:val="000000"/>
          <w:sz w:val="18"/>
          <w:szCs w:val="18"/>
        </w:rPr>
        <w:t xml:space="preserve"> </w:t>
      </w:r>
      <w:r w:rsidRPr="005F6496">
        <w:rPr>
          <w:rFonts w:ascii="Avenir Book" w:eastAsia="Avenir" w:hAnsi="Avenir Book" w:cs="Avenir"/>
          <w:color w:val="222222"/>
          <w:sz w:val="18"/>
          <w:szCs w:val="18"/>
          <w:highlight w:val="white"/>
        </w:rPr>
        <w:t xml:space="preserve">Foster, Diana Greene, et al. "Interest in and experience with IUD self-removal." </w:t>
      </w:r>
      <w:r w:rsidRPr="005F6496">
        <w:rPr>
          <w:rFonts w:ascii="Avenir Book" w:eastAsia="Avenir" w:hAnsi="Avenir Book" w:cs="Avenir"/>
          <w:i/>
          <w:color w:val="222222"/>
          <w:sz w:val="18"/>
          <w:szCs w:val="18"/>
          <w:highlight w:val="white"/>
        </w:rPr>
        <w:t>Contraception</w:t>
      </w:r>
      <w:r w:rsidRPr="005F6496">
        <w:rPr>
          <w:rFonts w:ascii="Avenir Book" w:eastAsia="Avenir" w:hAnsi="Avenir Book" w:cs="Avenir"/>
          <w:color w:val="222222"/>
          <w:sz w:val="18"/>
          <w:szCs w:val="18"/>
          <w:highlight w:val="white"/>
        </w:rPr>
        <w:t xml:space="preserve"> 90.1 (2014): 54-59.</w:t>
      </w:r>
    </w:p>
  </w:footnote>
  <w:footnote w:id="4">
    <w:p w14:paraId="54F0EC08" w14:textId="77777777" w:rsidR="00AA770A" w:rsidRPr="005F6496" w:rsidRDefault="00000000">
      <w:pPr>
        <w:pBdr>
          <w:top w:val="nil"/>
          <w:left w:val="nil"/>
          <w:bottom w:val="nil"/>
          <w:right w:val="nil"/>
          <w:between w:val="nil"/>
        </w:pBdr>
        <w:rPr>
          <w:rFonts w:ascii="Avenir Book" w:eastAsia="Avenir" w:hAnsi="Avenir Book" w:cs="Avenir"/>
          <w:color w:val="000000"/>
          <w:sz w:val="18"/>
          <w:szCs w:val="18"/>
        </w:rPr>
      </w:pPr>
      <w:r w:rsidRPr="005F6496">
        <w:rPr>
          <w:rFonts w:ascii="Avenir Book" w:hAnsi="Avenir Book"/>
          <w:sz w:val="18"/>
          <w:szCs w:val="18"/>
          <w:vertAlign w:val="superscript"/>
        </w:rPr>
        <w:footnoteRef/>
      </w:r>
      <w:r w:rsidRPr="005F6496">
        <w:rPr>
          <w:rFonts w:ascii="Avenir Book" w:eastAsia="Calibri" w:hAnsi="Avenir Book" w:cs="Calibri"/>
          <w:color w:val="000000"/>
          <w:sz w:val="18"/>
          <w:szCs w:val="18"/>
        </w:rPr>
        <w:t xml:space="preserve"> </w:t>
      </w:r>
      <w:r w:rsidRPr="005F6496">
        <w:rPr>
          <w:rFonts w:ascii="Avenir Book" w:eastAsia="Avenir" w:hAnsi="Avenir Book" w:cs="Avenir"/>
          <w:color w:val="000000"/>
          <w:sz w:val="18"/>
          <w:szCs w:val="18"/>
        </w:rPr>
        <w:t xml:space="preserve">Bracken, H., et al. "Alternatives to routine ultrasound for eligibility assessment prior to early termination of pregnancy with mifepristone–misoprostol." BJOG: An International Journal of Obstetrics &amp; </w:t>
      </w:r>
      <w:proofErr w:type="spellStart"/>
      <w:r w:rsidRPr="005F6496">
        <w:rPr>
          <w:rFonts w:ascii="Avenir Book" w:eastAsia="Avenir" w:hAnsi="Avenir Book" w:cs="Avenir"/>
          <w:color w:val="000000"/>
          <w:sz w:val="18"/>
          <w:szCs w:val="18"/>
        </w:rPr>
        <w:t>Gynaecology</w:t>
      </w:r>
      <w:proofErr w:type="spellEnd"/>
      <w:r w:rsidRPr="005F6496">
        <w:rPr>
          <w:rFonts w:ascii="Avenir Book" w:eastAsia="Avenir" w:hAnsi="Avenir Book" w:cs="Avenir"/>
          <w:color w:val="000000"/>
          <w:sz w:val="18"/>
          <w:szCs w:val="18"/>
        </w:rPr>
        <w:t xml:space="preserve"> 118.1 (2011): 17-23.</w:t>
      </w:r>
    </w:p>
  </w:footnote>
  <w:footnote w:id="5">
    <w:p w14:paraId="399BCB25" w14:textId="77777777" w:rsidR="00AA770A" w:rsidRPr="005F6496" w:rsidRDefault="00000000">
      <w:pPr>
        <w:pBdr>
          <w:top w:val="nil"/>
          <w:left w:val="nil"/>
          <w:bottom w:val="nil"/>
          <w:right w:val="nil"/>
          <w:between w:val="nil"/>
        </w:pBdr>
        <w:rPr>
          <w:rFonts w:ascii="Avenir Book" w:eastAsia="Avenir" w:hAnsi="Avenir Book" w:cs="Avenir"/>
          <w:color w:val="000000"/>
          <w:sz w:val="18"/>
          <w:szCs w:val="18"/>
        </w:rPr>
      </w:pPr>
      <w:r w:rsidRPr="005F6496">
        <w:rPr>
          <w:rFonts w:ascii="Avenir Book" w:hAnsi="Avenir Book"/>
          <w:sz w:val="18"/>
          <w:szCs w:val="18"/>
          <w:vertAlign w:val="superscript"/>
        </w:rPr>
        <w:footnoteRef/>
      </w:r>
      <w:r w:rsidRPr="005F6496">
        <w:rPr>
          <w:rFonts w:ascii="Avenir Book" w:eastAsia="Calibri" w:hAnsi="Avenir Book" w:cs="Calibri"/>
          <w:color w:val="000000"/>
          <w:sz w:val="18"/>
          <w:szCs w:val="18"/>
        </w:rPr>
        <w:t xml:space="preserve"> </w:t>
      </w:r>
      <w:r w:rsidRPr="005F6496">
        <w:rPr>
          <w:rFonts w:ascii="Avenir Book" w:eastAsia="Avenir" w:hAnsi="Avenir Book" w:cs="Avenir"/>
          <w:color w:val="000000"/>
          <w:sz w:val="18"/>
          <w:szCs w:val="18"/>
        </w:rPr>
        <w:t>Raymond, Elizabeth G., et al. "Simplified medical abortion screening: a demonstration project." Contraception 97.4 (2018): 292-296.</w:t>
      </w:r>
    </w:p>
  </w:footnote>
  <w:footnote w:id="6">
    <w:p w14:paraId="28CD14EC" w14:textId="77777777" w:rsidR="00AA770A" w:rsidRDefault="00000000">
      <w:pPr>
        <w:pBdr>
          <w:top w:val="nil"/>
          <w:left w:val="nil"/>
          <w:bottom w:val="nil"/>
          <w:right w:val="nil"/>
          <w:between w:val="nil"/>
        </w:pBdr>
        <w:rPr>
          <w:rFonts w:ascii="Avenir" w:eastAsia="Avenir" w:hAnsi="Avenir" w:cs="Avenir"/>
          <w:color w:val="000000"/>
          <w:sz w:val="18"/>
          <w:szCs w:val="18"/>
        </w:rPr>
      </w:pPr>
      <w:r w:rsidRPr="005F6496">
        <w:rPr>
          <w:rFonts w:ascii="Avenir Book" w:hAnsi="Avenir Book"/>
          <w:sz w:val="18"/>
          <w:szCs w:val="18"/>
          <w:vertAlign w:val="superscript"/>
        </w:rPr>
        <w:footnoteRef/>
      </w:r>
      <w:r w:rsidRPr="005F6496">
        <w:rPr>
          <w:rFonts w:ascii="Avenir Book" w:eastAsia="Calibri" w:hAnsi="Avenir Book" w:cs="Calibri"/>
          <w:color w:val="000000"/>
          <w:sz w:val="18"/>
          <w:szCs w:val="18"/>
        </w:rPr>
        <w:t xml:space="preserve"> </w:t>
      </w:r>
      <w:r w:rsidRPr="005F6496">
        <w:rPr>
          <w:rFonts w:ascii="Avenir Book" w:eastAsia="Avenir" w:hAnsi="Avenir Book" w:cs="Avenir"/>
          <w:color w:val="000000"/>
          <w:sz w:val="18"/>
          <w:szCs w:val="18"/>
        </w:rPr>
        <w:t>Royal College of Obstetricians &amp; Gynecologists. “Coronavirus (COVID-19) infection and abortion care.” Version 1: published March 21, 2020.</w:t>
      </w:r>
    </w:p>
  </w:footnote>
  <w:footnote w:id="7">
    <w:p w14:paraId="5EA86A57" w14:textId="77777777" w:rsidR="00AA770A" w:rsidRPr="005F6496" w:rsidRDefault="00000000">
      <w:pPr>
        <w:pBdr>
          <w:top w:val="nil"/>
          <w:left w:val="nil"/>
          <w:bottom w:val="nil"/>
          <w:right w:val="nil"/>
          <w:between w:val="nil"/>
        </w:pBdr>
        <w:rPr>
          <w:rFonts w:ascii="Avenir Book" w:eastAsia="Avenir" w:hAnsi="Avenir Book" w:cs="Avenir"/>
          <w:color w:val="000000"/>
          <w:sz w:val="18"/>
          <w:szCs w:val="18"/>
        </w:rPr>
      </w:pPr>
      <w:r w:rsidRPr="005F6496">
        <w:rPr>
          <w:rFonts w:ascii="Avenir Book" w:hAnsi="Avenir Book"/>
          <w:sz w:val="18"/>
          <w:szCs w:val="18"/>
          <w:vertAlign w:val="superscript"/>
        </w:rPr>
        <w:footnoteRef/>
      </w:r>
      <w:r w:rsidRPr="005F6496">
        <w:rPr>
          <w:rFonts w:ascii="Avenir Book" w:eastAsia="Avenir" w:hAnsi="Avenir Book" w:cs="Avenir"/>
          <w:color w:val="000000"/>
          <w:sz w:val="18"/>
          <w:szCs w:val="18"/>
        </w:rPr>
        <w:t xml:space="preserve"> National Abortion Federation. </w:t>
      </w:r>
      <w:r w:rsidRPr="005F6496">
        <w:rPr>
          <w:rFonts w:ascii="Avenir Book" w:eastAsia="Avenir" w:hAnsi="Avenir Book" w:cs="Avenir"/>
          <w:sz w:val="18"/>
          <w:szCs w:val="18"/>
        </w:rPr>
        <w:t>“</w:t>
      </w:r>
      <w:r w:rsidRPr="005F6496">
        <w:rPr>
          <w:rFonts w:ascii="Avenir Book" w:eastAsia="Avenir" w:hAnsi="Avenir Book" w:cs="Avenir"/>
          <w:color w:val="000000"/>
          <w:sz w:val="18"/>
          <w:szCs w:val="18"/>
        </w:rPr>
        <w:t>Clinical Policy Guidelines 202</w:t>
      </w:r>
      <w:r w:rsidRPr="005F6496">
        <w:rPr>
          <w:rFonts w:ascii="Avenir Book" w:eastAsia="Avenir" w:hAnsi="Avenir Book" w:cs="Avenir"/>
          <w:sz w:val="18"/>
          <w:szCs w:val="18"/>
        </w:rPr>
        <w:t>2</w:t>
      </w:r>
      <w:r w:rsidRPr="005F6496">
        <w:rPr>
          <w:rFonts w:ascii="Avenir Book" w:eastAsia="Avenir" w:hAnsi="Avenir Book" w:cs="Avenir"/>
          <w:color w:val="000000"/>
          <w:sz w:val="18"/>
          <w:szCs w:val="18"/>
        </w:rPr>
        <w:t>.</w:t>
      </w:r>
      <w:r w:rsidRPr="005F6496">
        <w:rPr>
          <w:rFonts w:ascii="Avenir Book" w:eastAsia="Avenir" w:hAnsi="Avenir Book" w:cs="Avenir"/>
          <w:sz w:val="18"/>
          <w:szCs w:val="18"/>
        </w:rPr>
        <w:t>” (2022)</w:t>
      </w:r>
      <w:r w:rsidRPr="005F6496">
        <w:rPr>
          <w:rFonts w:ascii="Avenir Book" w:eastAsia="Avenir" w:hAnsi="Avenir Book" w:cs="Avenir"/>
          <w:color w:val="000000"/>
          <w:sz w:val="18"/>
          <w:szCs w:val="18"/>
        </w:rPr>
        <w:t xml:space="preserve"> </w:t>
      </w:r>
      <w:hyperlink r:id="rId1">
        <w:r w:rsidRPr="005F6496">
          <w:rPr>
            <w:rFonts w:ascii="Avenir Book" w:eastAsia="Avenir" w:hAnsi="Avenir Book" w:cs="Avenir"/>
            <w:color w:val="1155CC"/>
            <w:sz w:val="18"/>
            <w:szCs w:val="18"/>
            <w:u w:val="single"/>
          </w:rPr>
          <w:t>https://prochoice.org/providers/quality-standards/</w:t>
        </w:r>
      </w:hyperlink>
      <w:r w:rsidRPr="005F6496">
        <w:rPr>
          <w:rFonts w:ascii="Avenir Book" w:eastAsia="Avenir" w:hAnsi="Avenir Book" w:cs="Avenir"/>
          <w:color w:val="000000"/>
          <w:sz w:val="18"/>
          <w:szCs w:val="18"/>
        </w:rPr>
        <w:t xml:space="preserve">. </w:t>
      </w:r>
    </w:p>
  </w:footnote>
  <w:footnote w:id="8">
    <w:p w14:paraId="7E0465D1" w14:textId="77777777" w:rsidR="00AA770A" w:rsidRPr="005F6496" w:rsidRDefault="00000000">
      <w:pPr>
        <w:pBdr>
          <w:top w:val="nil"/>
          <w:left w:val="nil"/>
          <w:bottom w:val="nil"/>
          <w:right w:val="nil"/>
          <w:between w:val="nil"/>
        </w:pBdr>
        <w:rPr>
          <w:rFonts w:ascii="Avenir Book" w:eastAsia="Avenir" w:hAnsi="Avenir Book" w:cs="Avenir"/>
          <w:color w:val="000000"/>
          <w:sz w:val="18"/>
          <w:szCs w:val="18"/>
        </w:rPr>
      </w:pPr>
      <w:r w:rsidRPr="005F6496">
        <w:rPr>
          <w:rFonts w:ascii="Avenir Book" w:hAnsi="Avenir Book"/>
          <w:sz w:val="18"/>
          <w:szCs w:val="18"/>
          <w:vertAlign w:val="superscript"/>
        </w:rPr>
        <w:footnoteRef/>
      </w:r>
      <w:r w:rsidRPr="005F6496">
        <w:rPr>
          <w:rFonts w:ascii="Avenir Book" w:eastAsia="Calibri" w:hAnsi="Avenir Book" w:cs="Calibri"/>
          <w:color w:val="000000"/>
          <w:sz w:val="18"/>
          <w:szCs w:val="18"/>
        </w:rPr>
        <w:t xml:space="preserve"> </w:t>
      </w:r>
      <w:r w:rsidRPr="005F6496">
        <w:rPr>
          <w:rFonts w:ascii="Avenir Book" w:eastAsia="Avenir" w:hAnsi="Avenir Book" w:cs="Avenir"/>
          <w:color w:val="222222"/>
          <w:sz w:val="18"/>
          <w:szCs w:val="18"/>
          <w:highlight w:val="white"/>
        </w:rPr>
        <w:t xml:space="preserve">Chen, Melissa J., and Mitchell D. Creinin. "Mifepristone with buccal misoprostol for medical abortion: a systematic review." </w:t>
      </w:r>
      <w:r w:rsidRPr="005F6496">
        <w:rPr>
          <w:rFonts w:ascii="Avenir Book" w:eastAsia="Avenir" w:hAnsi="Avenir Book" w:cs="Avenir"/>
          <w:i/>
          <w:color w:val="222222"/>
          <w:sz w:val="18"/>
          <w:szCs w:val="18"/>
          <w:highlight w:val="white"/>
        </w:rPr>
        <w:t>Obstetrics &amp; Gynecology</w:t>
      </w:r>
      <w:r w:rsidRPr="005F6496">
        <w:rPr>
          <w:rFonts w:ascii="Avenir Book" w:eastAsia="Avenir" w:hAnsi="Avenir Book" w:cs="Avenir"/>
          <w:color w:val="222222"/>
          <w:sz w:val="18"/>
          <w:szCs w:val="18"/>
          <w:highlight w:val="white"/>
        </w:rPr>
        <w:t xml:space="preserve"> 126.1 (2015): 12-21.</w:t>
      </w:r>
    </w:p>
  </w:footnote>
  <w:footnote w:id="9">
    <w:p w14:paraId="09C2F771" w14:textId="77777777" w:rsidR="00AA770A" w:rsidRPr="005F6496" w:rsidRDefault="00000000">
      <w:pPr>
        <w:pBdr>
          <w:top w:val="nil"/>
          <w:left w:val="nil"/>
          <w:bottom w:val="nil"/>
          <w:right w:val="nil"/>
          <w:between w:val="nil"/>
        </w:pBdr>
        <w:rPr>
          <w:rFonts w:ascii="Avenir Book" w:eastAsia="Avenir" w:hAnsi="Avenir Book" w:cs="Avenir"/>
          <w:color w:val="000000"/>
          <w:sz w:val="18"/>
          <w:szCs w:val="18"/>
        </w:rPr>
      </w:pPr>
      <w:r w:rsidRPr="005F6496">
        <w:rPr>
          <w:rFonts w:ascii="Avenir Book" w:hAnsi="Avenir Book"/>
          <w:sz w:val="18"/>
          <w:szCs w:val="18"/>
          <w:vertAlign w:val="superscript"/>
        </w:rPr>
        <w:footnoteRef/>
      </w:r>
      <w:r w:rsidRPr="005F6496">
        <w:rPr>
          <w:rFonts w:ascii="Avenir Book" w:eastAsia="Calibri" w:hAnsi="Avenir Book" w:cs="Calibri"/>
          <w:color w:val="000000"/>
          <w:sz w:val="18"/>
          <w:szCs w:val="18"/>
        </w:rPr>
        <w:t xml:space="preserve"> </w:t>
      </w:r>
      <w:r w:rsidRPr="005F6496">
        <w:rPr>
          <w:rFonts w:ascii="Avenir Book" w:eastAsia="Avenir" w:hAnsi="Avenir Book" w:cs="Avenir"/>
          <w:color w:val="000000"/>
          <w:sz w:val="18"/>
          <w:szCs w:val="18"/>
        </w:rPr>
        <w:t>Schaff EA, Fielding SL, Westhoff C, Ellertson C, Eisinger SH, Stadalius LS, et al. Vaginal misoprostol administered 1, 2, or 3 days after mifepristone for early medical abortion: A randomized trial. JAMA 2000;284:1948-53.</w:t>
      </w:r>
    </w:p>
  </w:footnote>
  <w:footnote w:id="10">
    <w:p w14:paraId="179B6EEA" w14:textId="77777777" w:rsidR="00AA770A" w:rsidRDefault="00000000">
      <w:pPr>
        <w:pBdr>
          <w:top w:val="nil"/>
          <w:left w:val="nil"/>
          <w:bottom w:val="nil"/>
          <w:right w:val="nil"/>
          <w:between w:val="nil"/>
        </w:pBdr>
        <w:rPr>
          <w:rFonts w:ascii="Avenir" w:eastAsia="Avenir" w:hAnsi="Avenir" w:cs="Avenir"/>
          <w:color w:val="000000"/>
          <w:sz w:val="18"/>
          <w:szCs w:val="18"/>
        </w:rPr>
      </w:pPr>
      <w:r w:rsidRPr="005F6496">
        <w:rPr>
          <w:rFonts w:ascii="Avenir Book" w:hAnsi="Avenir Book"/>
          <w:sz w:val="18"/>
          <w:szCs w:val="18"/>
          <w:vertAlign w:val="superscript"/>
        </w:rPr>
        <w:footnoteRef/>
      </w:r>
      <w:r w:rsidRPr="005F6496">
        <w:rPr>
          <w:rFonts w:ascii="Avenir Book" w:eastAsia="Calibri" w:hAnsi="Avenir Book" w:cs="Calibri"/>
          <w:color w:val="000000"/>
          <w:sz w:val="18"/>
          <w:szCs w:val="18"/>
        </w:rPr>
        <w:t xml:space="preserve"> </w:t>
      </w:r>
      <w:r w:rsidRPr="005F6496">
        <w:rPr>
          <w:rFonts w:ascii="Avenir Book" w:eastAsia="Avenir" w:hAnsi="Avenir Book" w:cs="Avenir"/>
          <w:color w:val="222222"/>
          <w:sz w:val="18"/>
          <w:szCs w:val="18"/>
          <w:highlight w:val="white"/>
        </w:rPr>
        <w:t xml:space="preserve">Von </w:t>
      </w:r>
      <w:proofErr w:type="spellStart"/>
      <w:r w:rsidRPr="005F6496">
        <w:rPr>
          <w:rFonts w:ascii="Avenir Book" w:eastAsia="Avenir" w:hAnsi="Avenir Book" w:cs="Avenir"/>
          <w:color w:val="222222"/>
          <w:sz w:val="18"/>
          <w:szCs w:val="18"/>
          <w:highlight w:val="white"/>
        </w:rPr>
        <w:t>Hertzen</w:t>
      </w:r>
      <w:proofErr w:type="spellEnd"/>
      <w:r w:rsidRPr="005F6496">
        <w:rPr>
          <w:rFonts w:ascii="Avenir Book" w:eastAsia="Avenir" w:hAnsi="Avenir Book" w:cs="Avenir"/>
          <w:color w:val="222222"/>
          <w:sz w:val="18"/>
          <w:szCs w:val="18"/>
          <w:highlight w:val="white"/>
        </w:rPr>
        <w:t xml:space="preserve">, H., et al. "Misoprostol dose and route after mifepristone for early medical abortion: a </w:t>
      </w:r>
      <w:proofErr w:type="spellStart"/>
      <w:r w:rsidRPr="005F6496">
        <w:rPr>
          <w:rFonts w:ascii="Avenir Book" w:eastAsia="Avenir" w:hAnsi="Avenir Book" w:cs="Avenir"/>
          <w:color w:val="222222"/>
          <w:sz w:val="18"/>
          <w:szCs w:val="18"/>
          <w:highlight w:val="white"/>
        </w:rPr>
        <w:t>randomised</w:t>
      </w:r>
      <w:proofErr w:type="spellEnd"/>
      <w:r w:rsidRPr="005F6496">
        <w:rPr>
          <w:rFonts w:ascii="Avenir Book" w:eastAsia="Avenir" w:hAnsi="Avenir Book" w:cs="Avenir"/>
          <w:color w:val="222222"/>
          <w:sz w:val="18"/>
          <w:szCs w:val="18"/>
          <w:highlight w:val="white"/>
        </w:rPr>
        <w:t xml:space="preserve"> controlled noninferiority trial." </w:t>
      </w:r>
      <w:r w:rsidRPr="005F6496">
        <w:rPr>
          <w:rFonts w:ascii="Avenir Book" w:eastAsia="Avenir" w:hAnsi="Avenir Book" w:cs="Avenir"/>
          <w:i/>
          <w:color w:val="222222"/>
          <w:sz w:val="18"/>
          <w:szCs w:val="18"/>
          <w:highlight w:val="white"/>
        </w:rPr>
        <w:t xml:space="preserve">BJOG: An International Journal of Obstetrics &amp; </w:t>
      </w:r>
      <w:proofErr w:type="spellStart"/>
      <w:r w:rsidRPr="005F6496">
        <w:rPr>
          <w:rFonts w:ascii="Avenir Book" w:eastAsia="Avenir" w:hAnsi="Avenir Book" w:cs="Avenir"/>
          <w:i/>
          <w:color w:val="222222"/>
          <w:sz w:val="18"/>
          <w:szCs w:val="18"/>
          <w:highlight w:val="white"/>
        </w:rPr>
        <w:t>Gynaecology</w:t>
      </w:r>
      <w:proofErr w:type="spellEnd"/>
      <w:r w:rsidRPr="005F6496">
        <w:rPr>
          <w:rFonts w:ascii="Avenir Book" w:eastAsia="Avenir" w:hAnsi="Avenir Book" w:cs="Avenir"/>
          <w:color w:val="222222"/>
          <w:sz w:val="18"/>
          <w:szCs w:val="18"/>
          <w:highlight w:val="white"/>
        </w:rPr>
        <w:t xml:space="preserve"> 117.10 (2010): 1186-1196.</w:t>
      </w:r>
    </w:p>
  </w:footnote>
  <w:footnote w:id="11">
    <w:p w14:paraId="40FAB7B6" w14:textId="77777777" w:rsidR="00AA770A" w:rsidRPr="005F6496" w:rsidRDefault="00000000">
      <w:pPr>
        <w:rPr>
          <w:rFonts w:ascii="Avenir Book" w:eastAsia="Avenir" w:hAnsi="Avenir Book" w:cs="Avenir"/>
          <w:sz w:val="18"/>
          <w:szCs w:val="18"/>
        </w:rPr>
      </w:pPr>
      <w:r w:rsidRPr="005F6496">
        <w:rPr>
          <w:rFonts w:ascii="Avenir Book" w:hAnsi="Avenir Book"/>
          <w:sz w:val="18"/>
          <w:szCs w:val="18"/>
          <w:vertAlign w:val="superscript"/>
        </w:rPr>
        <w:footnoteRef/>
      </w:r>
      <w:r w:rsidRPr="005F6496">
        <w:rPr>
          <w:rFonts w:ascii="Avenir Book" w:eastAsia="Calibri" w:hAnsi="Avenir Book" w:cs="Calibri"/>
          <w:sz w:val="18"/>
          <w:szCs w:val="18"/>
        </w:rPr>
        <w:t xml:space="preserve"> </w:t>
      </w:r>
      <w:r w:rsidRPr="005F6496">
        <w:rPr>
          <w:rFonts w:ascii="Avenir Book" w:eastAsia="Avenir" w:hAnsi="Avenir Book" w:cs="Avenir"/>
          <w:sz w:val="18"/>
          <w:szCs w:val="18"/>
        </w:rPr>
        <w:t>Perriera LK, Reeves MF, Chen BA, Hohmann HL, Hayes J, Creinin MD. Feasibility of telephone follow-up after medical abortion. Contraception. 2010;81(2):143-9.</w:t>
      </w:r>
    </w:p>
  </w:footnote>
  <w:footnote w:id="12">
    <w:p w14:paraId="6D669D80" w14:textId="77777777" w:rsidR="00AA770A" w:rsidRDefault="00000000">
      <w:pPr>
        <w:rPr>
          <w:rFonts w:ascii="Avenir" w:eastAsia="Avenir" w:hAnsi="Avenir" w:cs="Avenir"/>
          <w:sz w:val="18"/>
          <w:szCs w:val="18"/>
        </w:rPr>
      </w:pPr>
      <w:r w:rsidRPr="005F6496">
        <w:rPr>
          <w:rFonts w:ascii="Avenir Book" w:hAnsi="Avenir Book"/>
          <w:sz w:val="18"/>
          <w:szCs w:val="18"/>
          <w:vertAlign w:val="superscript"/>
        </w:rPr>
        <w:footnoteRef/>
      </w:r>
      <w:r w:rsidRPr="005F6496">
        <w:rPr>
          <w:rFonts w:ascii="Avenir Book" w:eastAsia="Calibri" w:hAnsi="Avenir Book" w:cs="Calibri"/>
          <w:sz w:val="18"/>
          <w:szCs w:val="18"/>
        </w:rPr>
        <w:t xml:space="preserve"> </w:t>
      </w:r>
      <w:r w:rsidRPr="005F6496">
        <w:rPr>
          <w:rFonts w:ascii="Avenir Book" w:eastAsia="Avenir" w:hAnsi="Avenir Book" w:cs="Avenir"/>
          <w:sz w:val="18"/>
          <w:szCs w:val="18"/>
        </w:rPr>
        <w:t>Chen MJ, Rounds KC, Creinin MD, Casino C, Hou MY. Comparing office and telephone follow-up after medical abortion. Contraception. 2016;94(2):122-126.</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DC5234" w14:textId="77777777" w:rsidR="00AA770A" w:rsidRDefault="00AA770A">
    <w:pPr>
      <w:pBdr>
        <w:top w:val="nil"/>
        <w:left w:val="nil"/>
        <w:bottom w:val="nil"/>
        <w:right w:val="nil"/>
        <w:between w:val="nil"/>
      </w:pBdr>
      <w:tabs>
        <w:tab w:val="center" w:pos="4680"/>
        <w:tab w:val="right" w:pos="936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4D7BB4" w14:textId="77777777" w:rsidR="00AA770A" w:rsidRDefault="00AA770A">
    <w:pPr>
      <w:pBdr>
        <w:top w:val="nil"/>
        <w:left w:val="nil"/>
        <w:bottom w:val="nil"/>
        <w:right w:val="nil"/>
        <w:between w:val="nil"/>
      </w:pBdr>
      <w:tabs>
        <w:tab w:val="center" w:pos="4680"/>
        <w:tab w:val="right" w:pos="9360"/>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449084" w14:textId="77777777" w:rsidR="00AA770A" w:rsidRDefault="00AA770A">
    <w:pPr>
      <w:pBdr>
        <w:top w:val="nil"/>
        <w:left w:val="nil"/>
        <w:bottom w:val="nil"/>
        <w:right w:val="nil"/>
        <w:between w:val="nil"/>
      </w:pBdr>
      <w:tabs>
        <w:tab w:val="center" w:pos="4680"/>
        <w:tab w:val="right" w:pos="936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1E2A67"/>
    <w:multiLevelType w:val="multilevel"/>
    <w:tmpl w:val="D17C3D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A06666C"/>
    <w:multiLevelType w:val="hybridMultilevel"/>
    <w:tmpl w:val="070EDE0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66AE7754"/>
    <w:multiLevelType w:val="multilevel"/>
    <w:tmpl w:val="58D09A2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16cid:durableId="614025213">
    <w:abstractNumId w:val="2"/>
  </w:num>
  <w:num w:numId="2" w16cid:durableId="363943634">
    <w:abstractNumId w:val="0"/>
  </w:num>
  <w:num w:numId="3" w16cid:durableId="190834641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1"/>
  <w:displayBackgroundShape/>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770A"/>
    <w:rsid w:val="000F7C66"/>
    <w:rsid w:val="00424433"/>
    <w:rsid w:val="004D7B04"/>
    <w:rsid w:val="005F6496"/>
    <w:rsid w:val="00683C12"/>
    <w:rsid w:val="00AA770A"/>
    <w:rsid w:val="00AC1528"/>
    <w:rsid w:val="00DA5405"/>
    <w:rsid w:val="00E348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4F5147"/>
  <w15:docId w15:val="{C26F0FC8-F09B-4948-B871-FD1F1388CD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1"/>
    <w:next w:val="Normal1"/>
    <w:uiPriority w:val="9"/>
    <w:qFormat/>
    <w:pPr>
      <w:keepNext/>
      <w:keepLines/>
      <w:widowControl w:val="0"/>
      <w:jc w:val="center"/>
      <w:outlineLvl w:val="0"/>
    </w:pPr>
    <w:rPr>
      <w:b/>
      <w:sz w:val="32"/>
      <w:szCs w:val="32"/>
    </w:rPr>
  </w:style>
  <w:style w:type="paragraph" w:styleId="Heading2">
    <w:name w:val="heading 2"/>
    <w:basedOn w:val="Normal1"/>
    <w:next w:val="Normal1"/>
    <w:uiPriority w:val="9"/>
    <w:unhideWhenUsed/>
    <w:qFormat/>
    <w:pPr>
      <w:keepNext/>
      <w:keepLines/>
      <w:outlineLvl w:val="1"/>
    </w:pPr>
    <w:rPr>
      <w:b/>
    </w:rPr>
  </w:style>
  <w:style w:type="paragraph" w:styleId="Heading3">
    <w:name w:val="heading 3"/>
    <w:basedOn w:val="Normal1"/>
    <w:next w:val="Normal1"/>
    <w:uiPriority w:val="9"/>
    <w:semiHidden/>
    <w:unhideWhenUsed/>
    <w:qFormat/>
    <w:pPr>
      <w:keepNext/>
      <w:keepLines/>
      <w:outlineLvl w:val="2"/>
    </w:pPr>
    <w:rPr>
      <w:sz w:val="34"/>
      <w:szCs w:val="34"/>
    </w:rPr>
  </w:style>
  <w:style w:type="paragraph" w:styleId="Heading4">
    <w:name w:val="heading 4"/>
    <w:basedOn w:val="Normal1"/>
    <w:next w:val="Normal1"/>
    <w:uiPriority w:val="9"/>
    <w:semiHidden/>
    <w:unhideWhenUsed/>
    <w:qFormat/>
    <w:pPr>
      <w:keepNext/>
      <w:keepLines/>
      <w:spacing w:before="240" w:after="40"/>
      <w:outlineLvl w:val="3"/>
    </w:pPr>
    <w:rPr>
      <w:b/>
    </w:rPr>
  </w:style>
  <w:style w:type="paragraph" w:styleId="Heading5">
    <w:name w:val="heading 5"/>
    <w:basedOn w:val="Normal1"/>
    <w:next w:val="Normal1"/>
    <w:uiPriority w:val="9"/>
    <w:semiHidden/>
    <w:unhideWhenUsed/>
    <w:qFormat/>
    <w:pPr>
      <w:keepNext/>
      <w:keepLines/>
      <w:spacing w:before="220" w:after="40"/>
      <w:outlineLvl w:val="4"/>
    </w:pPr>
    <w:rPr>
      <w:b/>
      <w:sz w:val="22"/>
      <w:szCs w:val="22"/>
    </w:rPr>
  </w:style>
  <w:style w:type="paragraph" w:styleId="Heading6">
    <w:name w:val="heading 6"/>
    <w:basedOn w:val="Normal1"/>
    <w:next w:val="Normal1"/>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1"/>
    <w:next w:val="Normal1"/>
    <w:uiPriority w:val="10"/>
    <w:qFormat/>
    <w:pPr>
      <w:keepNext/>
      <w:keepLines/>
      <w:spacing w:before="480" w:after="120"/>
    </w:pPr>
    <w:rPr>
      <w:b/>
      <w:sz w:val="72"/>
      <w:szCs w:val="72"/>
    </w:rPr>
  </w:style>
  <w:style w:type="paragraph" w:customStyle="1" w:styleId="Normal1">
    <w:name w:val="Normal1"/>
  </w:style>
  <w:style w:type="paragraph" w:styleId="Subtitle">
    <w:name w:val="Subtitle"/>
    <w:basedOn w:val="Normal"/>
    <w:next w:val="Normal"/>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paragraph" w:styleId="ListParagraph">
    <w:name w:val="List Paragraph"/>
    <w:basedOn w:val="Normal"/>
    <w:uiPriority w:val="34"/>
    <w:qFormat/>
    <w:rsid w:val="005F6496"/>
    <w:pPr>
      <w:ind w:left="720"/>
      <w:contextualSpacing/>
    </w:pPr>
  </w:style>
  <w:style w:type="paragraph" w:styleId="Revision">
    <w:name w:val="Revision"/>
    <w:hidden/>
    <w:uiPriority w:val="99"/>
    <w:semiHidden/>
    <w:rsid w:val="00E348A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www.guttmacher.org/united-states/abortion/state-policies-abortion"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guttmacher.org/united-states/abortion/state-policies-abortion" TargetMode="Externa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footnotes.xml.rels><?xml version="1.0" encoding="UTF-8" standalone="yes"?>
<Relationships xmlns="http://schemas.openxmlformats.org/package/2006/relationships"><Relationship Id="rId1" Type="http://schemas.openxmlformats.org/officeDocument/2006/relationships/hyperlink" Target="https://prochoice.org/providers/quality-standard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pgGdvVeakrn8k7evvvfRWiMy/vA==">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1307</Words>
  <Characters>7453</Characters>
  <Application>Microsoft Office Word</Application>
  <DocSecurity>0</DocSecurity>
  <Lines>62</Lines>
  <Paragraphs>17</Paragraphs>
  <ScaleCrop>false</ScaleCrop>
  <Company/>
  <LinksUpToDate>false</LinksUpToDate>
  <CharactersWithSpaces>8743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brandy@reproductiveaccess.org</cp:lastModifiedBy>
  <cp:revision>3</cp:revision>
  <cp:lastPrinted>2023-02-01T23:02:00Z</cp:lastPrinted>
  <dcterms:created xsi:type="dcterms:W3CDTF">2023-02-01T23:03:00Z</dcterms:created>
  <dcterms:modified xsi:type="dcterms:W3CDTF">2023-02-01T23:03:00Z</dcterms:modified>
</cp:coreProperties>
</file>