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4634E9" w:rsidRDefault="00000000">
      <w:pPr>
        <w:pStyle w:val="Title"/>
        <w:rPr>
          <w:rFonts w:ascii="Avenir" w:eastAsia="Avenir" w:hAnsi="Avenir" w:cs="Avenir"/>
          <w:sz w:val="28"/>
          <w:szCs w:val="28"/>
        </w:rPr>
      </w:pPr>
      <w:r>
        <w:rPr>
          <w:rFonts w:ascii="Avenir" w:eastAsia="Avenir" w:hAnsi="Avenir" w:cs="Avenir"/>
          <w:sz w:val="28"/>
          <w:szCs w:val="28"/>
        </w:rPr>
        <w:t>Protocol for Medication Management of Early Pregnancy Loss:</w:t>
      </w:r>
    </w:p>
    <w:p w14:paraId="00000002" w14:textId="77777777" w:rsidR="004634E9" w:rsidRDefault="00000000">
      <w:pPr>
        <w:jc w:val="center"/>
        <w:rPr>
          <w:rFonts w:ascii="Avenir" w:eastAsia="Avenir" w:hAnsi="Avenir" w:cs="Avenir"/>
        </w:rPr>
      </w:pPr>
      <w:r>
        <w:rPr>
          <w:rFonts w:ascii="Avenir" w:eastAsia="Avenir" w:hAnsi="Avenir" w:cs="Avenir"/>
        </w:rPr>
        <w:t>Mifepristone &amp; Misoprostol</w:t>
      </w:r>
    </w:p>
    <w:p w14:paraId="00000003" w14:textId="77777777" w:rsidR="004634E9" w:rsidRDefault="004634E9">
      <w:pPr>
        <w:pStyle w:val="Heading1"/>
        <w:rPr>
          <w:rFonts w:ascii="Avenir" w:eastAsia="Avenir" w:hAnsi="Avenir" w:cs="Avenir"/>
          <w:b w:val="0"/>
          <w:sz w:val="22"/>
          <w:szCs w:val="22"/>
          <w:u w:val="single"/>
        </w:rPr>
      </w:pPr>
    </w:p>
    <w:p w14:paraId="00000004" w14:textId="77777777" w:rsidR="004634E9" w:rsidRDefault="00000000">
      <w:pPr>
        <w:rPr>
          <w:rFonts w:ascii="Avenir" w:eastAsia="Avenir" w:hAnsi="Avenir" w:cs="Avenir"/>
          <w:b/>
        </w:rPr>
      </w:pPr>
      <w:r>
        <w:rPr>
          <w:rFonts w:ascii="Avenir" w:eastAsia="Avenir" w:hAnsi="Avenir" w:cs="Avenir"/>
          <w:b/>
        </w:rPr>
        <w:t>Eligibility</w:t>
      </w:r>
    </w:p>
    <w:p w14:paraId="00000005" w14:textId="77777777" w:rsidR="004634E9" w:rsidRPr="00CD42BB" w:rsidRDefault="004634E9">
      <w:pPr>
        <w:rPr>
          <w:rFonts w:ascii="Avenir" w:eastAsia="Avenir" w:hAnsi="Avenir" w:cs="Avenir"/>
          <w:b/>
          <w:sz w:val="22"/>
          <w:szCs w:val="22"/>
        </w:rPr>
      </w:pPr>
    </w:p>
    <w:p w14:paraId="00000006" w14:textId="488E12C1" w:rsidR="004634E9" w:rsidRDefault="00000000">
      <w:pPr>
        <w:rPr>
          <w:rFonts w:ascii="Avenir" w:eastAsia="Avenir" w:hAnsi="Avenir" w:cs="Avenir"/>
          <w:sz w:val="22"/>
          <w:szCs w:val="22"/>
        </w:rPr>
      </w:pPr>
      <w:r>
        <w:rPr>
          <w:rFonts w:ascii="Avenir" w:eastAsia="Avenir" w:hAnsi="Avenir" w:cs="Avenir"/>
          <w:sz w:val="22"/>
          <w:szCs w:val="22"/>
        </w:rPr>
        <w:t xml:space="preserve">Patients with a nonviable pregnancy up to 12 weeks gestational age are eligible for </w:t>
      </w:r>
      <w:sdt>
        <w:sdtPr>
          <w:tag w:val="goog_rdk_0"/>
          <w:id w:val="2055890618"/>
        </w:sdtPr>
        <w:sdtContent>
          <w:r>
            <w:rPr>
              <w:rFonts w:ascii="Avenir" w:eastAsia="Avenir" w:hAnsi="Avenir" w:cs="Avenir"/>
              <w:sz w:val="22"/>
              <w:szCs w:val="22"/>
            </w:rPr>
            <w:t>medication</w:t>
          </w:r>
        </w:sdtContent>
      </w:sdt>
      <w:r>
        <w:rPr>
          <w:rFonts w:ascii="Avenir" w:eastAsia="Avenir" w:hAnsi="Avenir" w:cs="Avenir"/>
          <w:sz w:val="22"/>
          <w:szCs w:val="22"/>
        </w:rPr>
        <w:t xml:space="preserve"> management. </w:t>
      </w:r>
    </w:p>
    <w:p w14:paraId="00000007" w14:textId="77777777" w:rsidR="004634E9" w:rsidRDefault="004634E9">
      <w:pPr>
        <w:rPr>
          <w:rFonts w:ascii="Avenir" w:eastAsia="Avenir" w:hAnsi="Avenir" w:cs="Avenir"/>
          <w:sz w:val="22"/>
          <w:szCs w:val="22"/>
        </w:rPr>
      </w:pPr>
    </w:p>
    <w:p w14:paraId="00000008" w14:textId="682ACCE1" w:rsidR="004634E9" w:rsidRDefault="00000000">
      <w:pPr>
        <w:rPr>
          <w:rFonts w:ascii="Avenir" w:eastAsia="Avenir" w:hAnsi="Avenir" w:cs="Avenir"/>
          <w:sz w:val="22"/>
          <w:szCs w:val="22"/>
        </w:rPr>
      </w:pPr>
      <w:r>
        <w:rPr>
          <w:rFonts w:ascii="Avenir" w:eastAsia="Avenir" w:hAnsi="Avenir" w:cs="Avenir"/>
          <w:sz w:val="22"/>
          <w:szCs w:val="22"/>
        </w:rPr>
        <w:t xml:space="preserve">Non-viable pregnancy is diagnosed by ultrasound </w:t>
      </w:r>
      <w:sdt>
        <w:sdtPr>
          <w:tag w:val="goog_rdk_2"/>
          <w:id w:val="-1292746987"/>
        </w:sdtPr>
        <w:sdtContent>
          <w:r>
            <w:rPr>
              <w:rFonts w:ascii="Avenir" w:eastAsia="Avenir" w:hAnsi="Avenir" w:cs="Avenir"/>
              <w:sz w:val="22"/>
              <w:szCs w:val="22"/>
            </w:rPr>
            <w:t xml:space="preserve">criteria </w:t>
          </w:r>
        </w:sdtContent>
      </w:sdt>
      <w:r>
        <w:rPr>
          <w:rFonts w:ascii="Avenir" w:eastAsia="Avenir" w:hAnsi="Avenir" w:cs="Avenir"/>
          <w:sz w:val="22"/>
          <w:szCs w:val="22"/>
        </w:rPr>
        <w:t xml:space="preserve">and/or falling quantitative </w:t>
      </w:r>
      <w:proofErr w:type="spellStart"/>
      <w:r>
        <w:rPr>
          <w:rFonts w:ascii="Avenir" w:eastAsia="Avenir" w:hAnsi="Avenir" w:cs="Avenir"/>
          <w:sz w:val="22"/>
          <w:szCs w:val="22"/>
        </w:rPr>
        <w:t>hCG</w:t>
      </w:r>
      <w:proofErr w:type="spellEnd"/>
      <w:r>
        <w:rPr>
          <w:rFonts w:ascii="Avenir" w:eastAsia="Avenir" w:hAnsi="Avenir" w:cs="Avenir"/>
          <w:sz w:val="22"/>
          <w:szCs w:val="22"/>
        </w:rPr>
        <w:t xml:space="preserve"> levels. Gestational age is based on ultrasound findings rather than last menstrual period (LMP). Ectopic pregnancy must be excluded, </w:t>
      </w:r>
      <w:sdt>
        <w:sdtPr>
          <w:tag w:val="goog_rdk_3"/>
          <w:id w:val="-1445534423"/>
        </w:sdtPr>
        <w:sdtContent>
          <w:sdt>
            <w:sdtPr>
              <w:tag w:val="goog_rdk_4"/>
              <w:id w:val="1535312849"/>
            </w:sdtPr>
            <w:sdtContent/>
          </w:sdt>
          <w:r>
            <w:rPr>
              <w:rFonts w:ascii="Avenir" w:eastAsia="Avenir" w:hAnsi="Avenir" w:cs="Avenir"/>
              <w:sz w:val="22"/>
              <w:szCs w:val="22"/>
            </w:rPr>
            <w:t>or patient may be managed as a pregnancy of unknown location.</w:t>
          </w:r>
        </w:sdtContent>
      </w:sdt>
      <w:sdt>
        <w:sdtPr>
          <w:tag w:val="goog_rdk_5"/>
          <w:id w:val="1554039655"/>
          <w:showingPlcHdr/>
        </w:sdtPr>
        <w:sdtContent>
          <w:r w:rsidR="00CD42BB">
            <w:t xml:space="preserve">     </w:t>
          </w:r>
        </w:sdtContent>
      </w:sdt>
      <w:sdt>
        <w:sdtPr>
          <w:tag w:val="goog_rdk_6"/>
          <w:id w:val="-1223598774"/>
          <w:showingPlcHdr/>
        </w:sdtPr>
        <w:sdtContent>
          <w:r w:rsidR="00CD42BB">
            <w:t xml:space="preserve">     </w:t>
          </w:r>
        </w:sdtContent>
      </w:sdt>
    </w:p>
    <w:p w14:paraId="00000009" w14:textId="77777777" w:rsidR="004634E9" w:rsidRDefault="004634E9">
      <w:pPr>
        <w:rPr>
          <w:rFonts w:ascii="Avenir" w:eastAsia="Avenir" w:hAnsi="Avenir" w:cs="Avenir"/>
          <w:sz w:val="22"/>
          <w:szCs w:val="22"/>
        </w:rPr>
      </w:pPr>
    </w:p>
    <w:p w14:paraId="0000000A" w14:textId="4AD9F1E1" w:rsidR="004634E9" w:rsidRDefault="00000000">
      <w:pPr>
        <w:rPr>
          <w:rFonts w:ascii="Avenir" w:eastAsia="Avenir" w:hAnsi="Avenir" w:cs="Avenir"/>
          <w:sz w:val="22"/>
          <w:szCs w:val="22"/>
        </w:rPr>
      </w:pPr>
      <w:sdt>
        <w:sdtPr>
          <w:tag w:val="goog_rdk_8"/>
          <w:id w:val="1055967837"/>
        </w:sdtPr>
        <w:sdtContent>
          <w:r>
            <w:rPr>
              <w:rFonts w:ascii="Avenir" w:eastAsia="Avenir" w:hAnsi="Avenir" w:cs="Avenir"/>
              <w:sz w:val="22"/>
              <w:szCs w:val="22"/>
            </w:rPr>
            <w:t xml:space="preserve">Contraindications to medication management </w:t>
          </w:r>
        </w:sdtContent>
      </w:sdt>
      <w:r>
        <w:rPr>
          <w:rFonts w:ascii="Avenir" w:eastAsia="Avenir" w:hAnsi="Avenir" w:cs="Avenir"/>
          <w:sz w:val="22"/>
          <w:szCs w:val="22"/>
        </w:rPr>
        <w:t xml:space="preserve"> include </w:t>
      </w:r>
      <w:sdt>
        <w:sdtPr>
          <w:tag w:val="goog_rdk_11"/>
          <w:id w:val="734359477"/>
        </w:sdtPr>
        <w:sdtContent>
          <w:r>
            <w:rPr>
              <w:rFonts w:ascii="Avenir" w:eastAsia="Avenir" w:hAnsi="Avenir" w:cs="Avenir"/>
              <w:sz w:val="22"/>
              <w:szCs w:val="22"/>
            </w:rPr>
            <w:t xml:space="preserve">hemodynamic instability, </w:t>
          </w:r>
        </w:sdtContent>
      </w:sdt>
      <w:r>
        <w:rPr>
          <w:rFonts w:ascii="Avenir" w:eastAsia="Avenir" w:hAnsi="Avenir" w:cs="Avenir"/>
          <w:sz w:val="22"/>
          <w:szCs w:val="22"/>
        </w:rPr>
        <w:t>severe anemia</w:t>
      </w:r>
      <w:sdt>
        <w:sdtPr>
          <w:tag w:val="goog_rdk_12"/>
          <w:id w:val="-1112826111"/>
        </w:sdtPr>
        <w:sdtContent>
          <w:r>
            <w:rPr>
              <w:rFonts w:ascii="Avenir" w:eastAsia="Avenir" w:hAnsi="Avenir" w:cs="Avenir"/>
              <w:sz w:val="22"/>
              <w:szCs w:val="22"/>
            </w:rPr>
            <w:t xml:space="preserve"> or bleeding disorders</w:t>
          </w:r>
        </w:sdtContent>
      </w:sdt>
      <w:r>
        <w:rPr>
          <w:rFonts w:ascii="Avenir" w:eastAsia="Avenir" w:hAnsi="Avenir" w:cs="Avenir"/>
          <w:sz w:val="22"/>
          <w:szCs w:val="22"/>
        </w:rPr>
        <w:t xml:space="preserve">, </w:t>
      </w:r>
      <w:sdt>
        <w:sdtPr>
          <w:tag w:val="goog_rdk_13"/>
          <w:id w:val="973790736"/>
        </w:sdtPr>
        <w:sdtContent>
          <w:r w:rsidR="00CD42BB">
            <w:rPr>
              <w:rFonts w:ascii="Avenir" w:eastAsia="Avenir" w:hAnsi="Avenir" w:cs="Avenir"/>
              <w:sz w:val="22"/>
              <w:szCs w:val="22"/>
            </w:rPr>
            <w:t>inherited</w:t>
          </w:r>
          <w:r>
            <w:rPr>
              <w:rFonts w:ascii="Avenir" w:eastAsia="Avenir" w:hAnsi="Avenir" w:cs="Avenir"/>
              <w:sz w:val="22"/>
              <w:szCs w:val="22"/>
            </w:rPr>
            <w:t xml:space="preserve"> porphyrias, </w:t>
          </w:r>
        </w:sdtContent>
      </w:sdt>
      <w:r>
        <w:rPr>
          <w:rFonts w:ascii="Avenir" w:eastAsia="Avenir" w:hAnsi="Avenir" w:cs="Avenir"/>
          <w:sz w:val="22"/>
          <w:szCs w:val="22"/>
        </w:rPr>
        <w:t xml:space="preserve">allergy to mifepristone or misoprostol, </w:t>
      </w:r>
      <w:sdt>
        <w:sdtPr>
          <w:tag w:val="goog_rdk_14"/>
          <w:id w:val="1715076230"/>
        </w:sdtPr>
        <w:sdtContent>
          <w:sdt>
            <w:sdtPr>
              <w:tag w:val="goog_rdk_15"/>
              <w:id w:val="-2046826284"/>
            </w:sdtPr>
            <w:sdtContent/>
          </w:sdt>
        </w:sdtContent>
      </w:sdt>
      <w:sdt>
        <w:sdtPr>
          <w:tag w:val="goog_rdk_17"/>
          <w:id w:val="-228227306"/>
        </w:sdtPr>
        <w:sdtContent>
          <w:r w:rsidR="00CD42BB">
            <w:t>o</w:t>
          </w:r>
          <w:r>
            <w:rPr>
              <w:rFonts w:ascii="Avenir" w:eastAsia="Avenir" w:hAnsi="Avenir" w:cs="Avenir"/>
              <w:sz w:val="22"/>
              <w:szCs w:val="22"/>
            </w:rPr>
            <w:t>r</w:t>
          </w:r>
        </w:sdtContent>
      </w:sdt>
      <w:r>
        <w:rPr>
          <w:rFonts w:ascii="Avenir" w:eastAsia="Avenir" w:hAnsi="Avenir" w:cs="Avenir"/>
          <w:sz w:val="22"/>
          <w:szCs w:val="22"/>
        </w:rPr>
        <w:t xml:space="preserve"> liver disease.</w:t>
      </w:r>
    </w:p>
    <w:p w14:paraId="0000000B" w14:textId="77777777" w:rsidR="004634E9" w:rsidRDefault="004634E9">
      <w:pPr>
        <w:rPr>
          <w:rFonts w:ascii="Avenir" w:eastAsia="Avenir" w:hAnsi="Avenir" w:cs="Avenir"/>
          <w:sz w:val="22"/>
          <w:szCs w:val="22"/>
        </w:rPr>
      </w:pPr>
    </w:p>
    <w:p w14:paraId="0000000C" w14:textId="77777777" w:rsidR="004634E9" w:rsidRDefault="00000000">
      <w:pPr>
        <w:rPr>
          <w:rFonts w:ascii="Avenir" w:eastAsia="Avenir" w:hAnsi="Avenir" w:cs="Avenir"/>
          <w:b/>
          <w:sz w:val="22"/>
          <w:szCs w:val="22"/>
        </w:rPr>
      </w:pPr>
      <w:r>
        <w:rPr>
          <w:rFonts w:ascii="Avenir" w:eastAsia="Avenir" w:hAnsi="Avenir" w:cs="Avenir"/>
          <w:b/>
          <w:sz w:val="22"/>
          <w:szCs w:val="22"/>
        </w:rPr>
        <w:t>Procedure</w:t>
      </w:r>
    </w:p>
    <w:p w14:paraId="0000000D" w14:textId="77777777" w:rsidR="004634E9" w:rsidRDefault="004634E9">
      <w:pPr>
        <w:rPr>
          <w:rFonts w:ascii="Avenir" w:eastAsia="Avenir" w:hAnsi="Avenir" w:cs="Avenir"/>
          <w:b/>
          <w:sz w:val="22"/>
          <w:szCs w:val="22"/>
        </w:rPr>
      </w:pPr>
    </w:p>
    <w:p w14:paraId="0000000E" w14:textId="55F60BD0" w:rsidR="004634E9" w:rsidRDefault="00000000">
      <w:pPr>
        <w:numPr>
          <w:ilvl w:val="0"/>
          <w:numId w:val="2"/>
        </w:numPr>
        <w:rPr>
          <w:rFonts w:ascii="Avenir" w:eastAsia="Avenir" w:hAnsi="Avenir" w:cs="Avenir"/>
          <w:sz w:val="22"/>
          <w:szCs w:val="22"/>
        </w:rPr>
      </w:pPr>
      <w:r>
        <w:rPr>
          <w:rFonts w:ascii="Avenir" w:eastAsia="Avenir" w:hAnsi="Avenir" w:cs="Avenir"/>
          <w:b/>
          <w:sz w:val="22"/>
          <w:szCs w:val="22"/>
        </w:rPr>
        <w:t>Labs:</w:t>
      </w:r>
      <w:r>
        <w:rPr>
          <w:rFonts w:ascii="Avenir" w:eastAsia="Avenir" w:hAnsi="Avenir" w:cs="Avenir"/>
          <w:sz w:val="22"/>
          <w:szCs w:val="22"/>
        </w:rPr>
        <w:t xml:space="preserve"> </w:t>
      </w:r>
      <w:sdt>
        <w:sdtPr>
          <w:tag w:val="goog_rdk_18"/>
          <w:id w:val="-665556780"/>
        </w:sdtPr>
        <w:sdtContent>
          <w:sdt>
            <w:sdtPr>
              <w:tag w:val="goog_rdk_19"/>
              <w:id w:val="-1058394091"/>
            </w:sdtPr>
            <w:sdtContent/>
          </w:sdt>
          <w:r>
            <w:rPr>
              <w:rFonts w:ascii="Avenir" w:eastAsia="Avenir" w:hAnsi="Avenir" w:cs="Avenir"/>
              <w:sz w:val="22"/>
              <w:szCs w:val="22"/>
            </w:rPr>
            <w:t>Possible</w:t>
          </w:r>
        </w:sdtContent>
      </w:sdt>
      <w:r>
        <w:rPr>
          <w:rFonts w:ascii="Avenir" w:eastAsia="Avenir" w:hAnsi="Avenir" w:cs="Avenir"/>
          <w:sz w:val="22"/>
          <w:szCs w:val="22"/>
        </w:rPr>
        <w:t xml:space="preserve"> labs include Rh screen, hematocrit, and quantitative serum </w:t>
      </w:r>
      <w:proofErr w:type="spellStart"/>
      <w:r>
        <w:rPr>
          <w:rFonts w:ascii="Avenir" w:eastAsia="Avenir" w:hAnsi="Avenir" w:cs="Avenir"/>
          <w:sz w:val="22"/>
          <w:szCs w:val="22"/>
        </w:rPr>
        <w:t>hCG</w:t>
      </w:r>
      <w:proofErr w:type="spellEnd"/>
      <w:r>
        <w:rPr>
          <w:rFonts w:ascii="Avenir" w:eastAsia="Avenir" w:hAnsi="Avenir" w:cs="Avenir"/>
          <w:sz w:val="22"/>
          <w:szCs w:val="22"/>
        </w:rPr>
        <w:t xml:space="preserve"> level. </w:t>
      </w:r>
      <w:sdt>
        <w:sdtPr>
          <w:tag w:val="goog_rdk_21"/>
          <w:id w:val="1727489596"/>
        </w:sdtPr>
        <w:sdtContent>
          <w:r>
            <w:rPr>
              <w:rFonts w:ascii="Avenir" w:eastAsia="Avenir" w:hAnsi="Avenir" w:cs="Avenir"/>
              <w:sz w:val="22"/>
              <w:szCs w:val="22"/>
            </w:rPr>
            <w:t>Testing for Rh status can be considered if the patient’s status is unknown, however the evidence supporting this practice is minimal. Based on current practice guidelines, it is reasonable to forgo this testing up to 12 weeks, however institutional policies may vary. A baseline hemoglobin or hematocrit level can be obtained, especially if there is a history of anemia</w:t>
          </w:r>
          <w:r w:rsidR="0040124C">
            <w:rPr>
              <w:rFonts w:ascii="Avenir" w:eastAsia="Avenir" w:hAnsi="Avenir" w:cs="Avenir"/>
              <w:sz w:val="22"/>
              <w:szCs w:val="22"/>
            </w:rPr>
            <w:t>, but it is not required</w:t>
          </w:r>
          <w:r>
            <w:rPr>
              <w:rFonts w:ascii="Avenir" w:eastAsia="Avenir" w:hAnsi="Avenir" w:cs="Avenir"/>
              <w:sz w:val="22"/>
              <w:szCs w:val="22"/>
            </w:rPr>
            <w:t xml:space="preserve">. </w:t>
          </w:r>
        </w:sdtContent>
      </w:sdt>
      <w:r>
        <w:rPr>
          <w:rFonts w:ascii="Avenir" w:eastAsia="Avenir" w:hAnsi="Avenir" w:cs="Avenir"/>
          <w:sz w:val="22"/>
          <w:szCs w:val="22"/>
        </w:rPr>
        <w:t xml:space="preserve">Serum </w:t>
      </w:r>
      <w:proofErr w:type="spellStart"/>
      <w:r>
        <w:rPr>
          <w:rFonts w:ascii="Avenir" w:eastAsia="Avenir" w:hAnsi="Avenir" w:cs="Avenir"/>
          <w:sz w:val="22"/>
          <w:szCs w:val="22"/>
        </w:rPr>
        <w:t>hCG</w:t>
      </w:r>
      <w:proofErr w:type="spellEnd"/>
      <w:r>
        <w:rPr>
          <w:rFonts w:ascii="Avenir" w:eastAsia="Avenir" w:hAnsi="Avenir" w:cs="Avenir"/>
          <w:sz w:val="22"/>
          <w:szCs w:val="22"/>
        </w:rPr>
        <w:t xml:space="preserve"> level may be deferred in patients who can follow-up with ultrasound, if the initial diagnosis was made by ultrasound. </w:t>
      </w:r>
      <w:sdt>
        <w:sdtPr>
          <w:tag w:val="goog_rdk_23"/>
          <w:id w:val="-2122606210"/>
        </w:sdtPr>
        <w:sdtContent/>
      </w:sdt>
    </w:p>
    <w:p w14:paraId="0000000F" w14:textId="77777777" w:rsidR="004634E9" w:rsidRDefault="004634E9">
      <w:pPr>
        <w:ind w:left="720"/>
        <w:rPr>
          <w:rFonts w:ascii="Avenir" w:eastAsia="Avenir" w:hAnsi="Avenir" w:cs="Avenir"/>
          <w:sz w:val="22"/>
          <w:szCs w:val="22"/>
        </w:rPr>
      </w:pPr>
    </w:p>
    <w:p w14:paraId="00000010" w14:textId="77777777" w:rsidR="004634E9" w:rsidRDefault="00000000">
      <w:pPr>
        <w:numPr>
          <w:ilvl w:val="0"/>
          <w:numId w:val="2"/>
        </w:numPr>
        <w:rPr>
          <w:rFonts w:ascii="Avenir" w:eastAsia="Avenir" w:hAnsi="Avenir" w:cs="Avenir"/>
          <w:sz w:val="22"/>
          <w:szCs w:val="22"/>
        </w:rPr>
      </w:pPr>
      <w:r>
        <w:rPr>
          <w:rFonts w:ascii="Avenir" w:eastAsia="Avenir" w:hAnsi="Avenir" w:cs="Avenir"/>
          <w:b/>
          <w:sz w:val="22"/>
          <w:szCs w:val="22"/>
        </w:rPr>
        <w:t>Counseling:</w:t>
      </w:r>
      <w:r>
        <w:rPr>
          <w:rFonts w:ascii="Avenir" w:eastAsia="Avenir" w:hAnsi="Avenir" w:cs="Avenir"/>
          <w:sz w:val="22"/>
          <w:szCs w:val="22"/>
        </w:rPr>
        <w:t xml:space="preserve"> Clinically stable patients should be counseled on all options for managing early pregnancy loss including expectant, medical management, and uterine aspiration.</w:t>
      </w:r>
    </w:p>
    <w:p w14:paraId="00000011" w14:textId="77777777" w:rsidR="004634E9" w:rsidRDefault="004634E9">
      <w:pPr>
        <w:ind w:left="720"/>
        <w:rPr>
          <w:rFonts w:ascii="Avenir" w:eastAsia="Avenir" w:hAnsi="Avenir" w:cs="Avenir"/>
          <w:sz w:val="22"/>
          <w:szCs w:val="22"/>
        </w:rPr>
      </w:pPr>
    </w:p>
    <w:p w14:paraId="00000012" w14:textId="3882C9CB" w:rsidR="004634E9" w:rsidRDefault="00000000">
      <w:pPr>
        <w:numPr>
          <w:ilvl w:val="0"/>
          <w:numId w:val="2"/>
        </w:numPr>
        <w:rPr>
          <w:rFonts w:ascii="Avenir" w:eastAsia="Avenir" w:hAnsi="Avenir" w:cs="Avenir"/>
          <w:sz w:val="22"/>
          <w:szCs w:val="22"/>
        </w:rPr>
      </w:pPr>
      <w:r>
        <w:rPr>
          <w:rFonts w:ascii="Avenir" w:eastAsia="Avenir" w:hAnsi="Avenir" w:cs="Avenir"/>
          <w:b/>
          <w:sz w:val="22"/>
          <w:szCs w:val="22"/>
        </w:rPr>
        <w:t>Consent forms:</w:t>
      </w:r>
      <w:r>
        <w:rPr>
          <w:rFonts w:ascii="Avenir" w:eastAsia="Avenir" w:hAnsi="Avenir" w:cs="Avenir"/>
          <w:sz w:val="22"/>
          <w:szCs w:val="22"/>
        </w:rPr>
        <w:t xml:space="preserve"> For patients who choose medical management with mifepristone and misoprostol, the patient and clinician must sign the </w:t>
      </w:r>
      <w:hyperlink r:id="rId8">
        <w:r>
          <w:rPr>
            <w:rFonts w:ascii="Avenir" w:eastAsia="Avenir" w:hAnsi="Avenir" w:cs="Avenir"/>
            <w:color w:val="1155CC"/>
            <w:sz w:val="22"/>
            <w:szCs w:val="22"/>
            <w:u w:val="single"/>
          </w:rPr>
          <w:t>D</w:t>
        </w:r>
      </w:hyperlink>
      <w:sdt>
        <w:sdtPr>
          <w:tag w:val="goog_rdk_25"/>
          <w:id w:val="-815491788"/>
        </w:sdtPr>
        <w:sdtContent>
          <w:hyperlink r:id="rId9" w:history="1">
            <w:r>
              <w:rPr>
                <w:rFonts w:ascii="Avenir" w:eastAsia="Avenir" w:hAnsi="Avenir" w:cs="Avenir"/>
                <w:color w:val="1155CC"/>
                <w:sz w:val="22"/>
                <w:szCs w:val="22"/>
                <w:u w:val="single"/>
              </w:rPr>
              <w:t>istributor’s</w:t>
            </w:r>
          </w:hyperlink>
        </w:sdtContent>
      </w:sdt>
      <w:hyperlink r:id="rId10">
        <w:r>
          <w:rPr>
            <w:rFonts w:ascii="Avenir" w:eastAsia="Avenir" w:hAnsi="Avenir" w:cs="Avenir"/>
            <w:color w:val="1155CC"/>
            <w:sz w:val="22"/>
            <w:szCs w:val="22"/>
            <w:u w:val="single"/>
          </w:rPr>
          <w:t xml:space="preserve"> mifepr</w:t>
        </w:r>
      </w:hyperlink>
      <w:sdt>
        <w:sdtPr>
          <w:tag w:val="goog_rdk_27"/>
          <w:id w:val="-1127389027"/>
        </w:sdtPr>
        <w:sdtContent>
          <w:hyperlink r:id="rId11" w:history="1">
            <w:r>
              <w:rPr>
                <w:rFonts w:ascii="Avenir" w:eastAsia="Avenir" w:hAnsi="Avenir" w:cs="Avenir"/>
                <w:color w:val="1155CC"/>
                <w:sz w:val="22"/>
                <w:szCs w:val="22"/>
                <w:u w:val="single"/>
              </w:rPr>
              <w:t>istone</w:t>
            </w:r>
          </w:hyperlink>
        </w:sdtContent>
      </w:sdt>
      <w:hyperlink r:id="rId12">
        <w:r>
          <w:rPr>
            <w:rFonts w:ascii="Avenir" w:eastAsia="Avenir" w:hAnsi="Avenir" w:cs="Avenir"/>
            <w:color w:val="1155CC"/>
            <w:sz w:val="22"/>
            <w:szCs w:val="22"/>
            <w:u w:val="single"/>
          </w:rPr>
          <w:t xml:space="preserve"> patient agreement form</w:t>
        </w:r>
      </w:hyperlink>
      <w:r>
        <w:rPr>
          <w:rFonts w:ascii="Avenir" w:eastAsia="Avenir" w:hAnsi="Avenir" w:cs="Avenir"/>
          <w:sz w:val="22"/>
          <w:szCs w:val="22"/>
        </w:rPr>
        <w:t xml:space="preserve"> (required by FDA). Consider signing an additional, </w:t>
      </w:r>
      <w:hyperlink r:id="rId13">
        <w:r>
          <w:rPr>
            <w:rFonts w:ascii="Avenir" w:eastAsia="Avenir" w:hAnsi="Avenir" w:cs="Avenir"/>
            <w:color w:val="1155CC"/>
            <w:sz w:val="22"/>
            <w:szCs w:val="22"/>
            <w:u w:val="single"/>
          </w:rPr>
          <w:t xml:space="preserve">evidence-based consent </w:t>
        </w:r>
      </w:hyperlink>
      <w:hyperlink r:id="rId14">
        <w:r>
          <w:rPr>
            <w:rFonts w:ascii="Avenir" w:eastAsia="Avenir" w:hAnsi="Avenir" w:cs="Avenir"/>
            <w:color w:val="1155CC"/>
            <w:sz w:val="22"/>
            <w:szCs w:val="22"/>
            <w:u w:val="single"/>
          </w:rPr>
          <w:t>form</w:t>
        </w:r>
      </w:hyperlink>
      <w:r>
        <w:rPr>
          <w:rFonts w:ascii="Avenir" w:eastAsia="Avenir" w:hAnsi="Avenir" w:cs="Avenir"/>
          <w:sz w:val="22"/>
          <w:szCs w:val="22"/>
        </w:rPr>
        <w:t xml:space="preserve"> explaining use of </w:t>
      </w:r>
      <w:sdt>
        <w:sdtPr>
          <w:tag w:val="goog_rdk_29"/>
          <w:id w:val="2070374366"/>
        </w:sdtPr>
        <w:sdtContent>
          <w:r>
            <w:rPr>
              <w:rFonts w:ascii="Avenir" w:eastAsia="Avenir" w:hAnsi="Avenir" w:cs="Avenir"/>
              <w:sz w:val="22"/>
              <w:szCs w:val="22"/>
            </w:rPr>
            <w:t>mifepristone</w:t>
          </w:r>
        </w:sdtContent>
      </w:sdt>
      <w:r>
        <w:rPr>
          <w:rFonts w:ascii="Avenir" w:eastAsia="Avenir" w:hAnsi="Avenir" w:cs="Avenir"/>
          <w:sz w:val="22"/>
          <w:szCs w:val="22"/>
        </w:rPr>
        <w:t xml:space="preserve"> for pregnancy loss rather than abortion.</w:t>
      </w:r>
    </w:p>
    <w:p w14:paraId="00000013" w14:textId="77777777" w:rsidR="004634E9" w:rsidRDefault="004634E9">
      <w:pPr>
        <w:ind w:left="720"/>
        <w:rPr>
          <w:rFonts w:ascii="Avenir" w:eastAsia="Avenir" w:hAnsi="Avenir" w:cs="Avenir"/>
          <w:sz w:val="22"/>
          <w:szCs w:val="22"/>
        </w:rPr>
      </w:pPr>
    </w:p>
    <w:p w14:paraId="00000014" w14:textId="443B525B" w:rsidR="004634E9" w:rsidRDefault="00000000">
      <w:pPr>
        <w:numPr>
          <w:ilvl w:val="0"/>
          <w:numId w:val="2"/>
        </w:numPr>
        <w:rPr>
          <w:rFonts w:ascii="Avenir" w:eastAsia="Avenir" w:hAnsi="Avenir" w:cs="Avenir"/>
          <w:sz w:val="22"/>
          <w:szCs w:val="22"/>
        </w:rPr>
      </w:pPr>
      <w:r>
        <w:rPr>
          <w:rFonts w:ascii="Avenir" w:eastAsia="Avenir" w:hAnsi="Avenir" w:cs="Avenir"/>
          <w:b/>
          <w:sz w:val="22"/>
          <w:szCs w:val="22"/>
        </w:rPr>
        <w:t>Mifepristone:</w:t>
      </w:r>
      <w:r>
        <w:rPr>
          <w:rFonts w:ascii="Avenir" w:eastAsia="Avenir" w:hAnsi="Avenir" w:cs="Avenir"/>
          <w:sz w:val="22"/>
          <w:szCs w:val="22"/>
        </w:rPr>
        <w:t xml:space="preserve"> One tablet of mifepristone 200 mg should be dispensed in the office</w:t>
      </w:r>
      <w:sdt>
        <w:sdtPr>
          <w:tag w:val="goog_rdk_31"/>
          <w:id w:val="-1358894877"/>
        </w:sdtPr>
        <w:sdtContent>
          <w:r>
            <w:rPr>
              <w:rFonts w:ascii="Avenir" w:eastAsia="Avenir" w:hAnsi="Avenir" w:cs="Avenir"/>
              <w:sz w:val="22"/>
              <w:szCs w:val="22"/>
            </w:rPr>
            <w:t xml:space="preserve"> or prescribed to a pharmacy that carries it. </w:t>
          </w:r>
        </w:sdtContent>
      </w:sdt>
      <w:r>
        <w:rPr>
          <w:rFonts w:ascii="Avenir" w:eastAsia="Avenir" w:hAnsi="Avenir" w:cs="Avenir"/>
          <w:sz w:val="22"/>
          <w:szCs w:val="22"/>
        </w:rPr>
        <w:t>The patient should be instructed to swallow the mifepristone at a convenient time</w:t>
      </w:r>
      <w:sdt>
        <w:sdtPr>
          <w:tag w:val="goog_rdk_33"/>
          <w:id w:val="1219781234"/>
        </w:sdtPr>
        <w:sdtContent>
          <w:r>
            <w:rPr>
              <w:rFonts w:ascii="Avenir" w:eastAsia="Avenir" w:hAnsi="Avenir" w:cs="Avenir"/>
              <w:sz w:val="22"/>
              <w:szCs w:val="22"/>
            </w:rPr>
            <w:t xml:space="preserve"> and place</w:t>
          </w:r>
        </w:sdtContent>
      </w:sdt>
      <w:r>
        <w:rPr>
          <w:rFonts w:ascii="Avenir" w:eastAsia="Avenir" w:hAnsi="Avenir" w:cs="Avenir"/>
          <w:sz w:val="22"/>
          <w:szCs w:val="22"/>
        </w:rPr>
        <w:t xml:space="preserve">. (It does not need to be swallowed in the office.) </w:t>
      </w:r>
      <w:sdt>
        <w:sdtPr>
          <w:tag w:val="goog_rdk_34"/>
          <w:id w:val="259806963"/>
        </w:sdtPr>
        <w:sdtContent>
          <w:r>
            <w:rPr>
              <w:rFonts w:ascii="Avenir" w:eastAsia="Avenir" w:hAnsi="Avenir" w:cs="Avenir"/>
              <w:sz w:val="22"/>
              <w:szCs w:val="22"/>
            </w:rPr>
            <w:t xml:space="preserve">If dispensing mifepristone in-office, </w:t>
          </w:r>
        </w:sdtContent>
      </w:sdt>
      <w:sdt>
        <w:sdtPr>
          <w:tag w:val="goog_rdk_36"/>
          <w:id w:val="-1160463796"/>
        </w:sdtPr>
        <w:sdtContent>
          <w:r>
            <w:rPr>
              <w:rFonts w:ascii="Avenir" w:eastAsia="Avenir" w:hAnsi="Avenir" w:cs="Avenir"/>
              <w:sz w:val="22"/>
              <w:szCs w:val="22"/>
            </w:rPr>
            <w:t>r</w:t>
          </w:r>
        </w:sdtContent>
      </w:sdt>
      <w:r>
        <w:rPr>
          <w:rFonts w:ascii="Avenir" w:eastAsia="Avenir" w:hAnsi="Avenir" w:cs="Avenir"/>
          <w:sz w:val="22"/>
          <w:szCs w:val="22"/>
        </w:rPr>
        <w:t xml:space="preserve">ecord the mifepristone NDC number in the medical record. If mifepristone is not available, the patient may begin the treatment with misoprostol </w:t>
      </w:r>
      <w:sdt>
        <w:sdtPr>
          <w:tag w:val="goog_rdk_37"/>
          <w:id w:val="1389224695"/>
        </w:sdtPr>
        <w:sdtContent/>
      </w:sdt>
      <w:r>
        <w:rPr>
          <w:rFonts w:ascii="Avenir" w:eastAsia="Avenir" w:hAnsi="Avenir" w:cs="Avenir"/>
          <w:sz w:val="22"/>
          <w:szCs w:val="22"/>
        </w:rPr>
        <w:t>alone.*</w:t>
      </w:r>
    </w:p>
    <w:p w14:paraId="00000015" w14:textId="77777777" w:rsidR="004634E9" w:rsidRDefault="004634E9">
      <w:pPr>
        <w:rPr>
          <w:rFonts w:ascii="Avenir" w:eastAsia="Avenir" w:hAnsi="Avenir" w:cs="Avenir"/>
          <w:sz w:val="22"/>
          <w:szCs w:val="22"/>
        </w:rPr>
      </w:pPr>
    </w:p>
    <w:p w14:paraId="00000016" w14:textId="767CE55A" w:rsidR="004634E9" w:rsidRDefault="00000000">
      <w:pPr>
        <w:numPr>
          <w:ilvl w:val="0"/>
          <w:numId w:val="2"/>
        </w:numPr>
        <w:rPr>
          <w:rFonts w:ascii="Avenir" w:eastAsia="Avenir" w:hAnsi="Avenir" w:cs="Avenir"/>
          <w:sz w:val="22"/>
          <w:szCs w:val="22"/>
        </w:rPr>
      </w:pPr>
      <w:r>
        <w:rPr>
          <w:rFonts w:ascii="Avenir" w:eastAsia="Avenir" w:hAnsi="Avenir" w:cs="Avenir"/>
          <w:b/>
          <w:sz w:val="22"/>
          <w:szCs w:val="22"/>
        </w:rPr>
        <w:lastRenderedPageBreak/>
        <w:t>Misoprostol:</w:t>
      </w:r>
      <w:r>
        <w:rPr>
          <w:rFonts w:ascii="Avenir" w:eastAsia="Avenir" w:hAnsi="Avenir" w:cs="Avenir"/>
          <w:sz w:val="22"/>
          <w:szCs w:val="22"/>
        </w:rPr>
        <w:t xml:space="preserve"> Prescribe or dispense four tablets of 200 mcg misoprostol (800 mcg total) for the patient to use </w:t>
      </w:r>
      <w:sdt>
        <w:sdtPr>
          <w:tag w:val="goog_rdk_38"/>
          <w:id w:val="80570715"/>
        </w:sdtPr>
        <w:sdtContent/>
      </w:sdt>
      <w:sdt>
        <w:sdtPr>
          <w:tag w:val="goog_rdk_39"/>
          <w:id w:val="642238522"/>
        </w:sdtPr>
        <w:sdtContent/>
      </w:sdt>
      <w:r>
        <w:rPr>
          <w:rFonts w:ascii="Avenir" w:eastAsia="Avenir" w:hAnsi="Avenir" w:cs="Avenir"/>
          <w:sz w:val="22"/>
          <w:szCs w:val="22"/>
        </w:rPr>
        <w:t xml:space="preserve">vaginally </w:t>
      </w:r>
      <w:sdt>
        <w:sdtPr>
          <w:tag w:val="goog_rdk_40"/>
          <w:id w:val="-1526482345"/>
        </w:sdtPr>
        <w:sdtContent>
          <w:r>
            <w:rPr>
              <w:rFonts w:ascii="Avenir" w:eastAsia="Avenir" w:hAnsi="Avenir" w:cs="Avenir"/>
              <w:sz w:val="22"/>
              <w:szCs w:val="22"/>
            </w:rPr>
            <w:t xml:space="preserve">or buccally </w:t>
          </w:r>
        </w:sdtContent>
      </w:sdt>
      <w:r>
        <w:rPr>
          <w:rFonts w:ascii="Avenir" w:eastAsia="Avenir" w:hAnsi="Avenir" w:cs="Avenir"/>
          <w:sz w:val="22"/>
          <w:szCs w:val="22"/>
        </w:rPr>
        <w:t>24 hours following mifepristone.</w:t>
      </w:r>
      <w:sdt>
        <w:sdtPr>
          <w:tag w:val="goog_rdk_41"/>
          <w:id w:val="120887928"/>
        </w:sdtPr>
        <w:sdtContent>
          <w:r>
            <w:rPr>
              <w:rFonts w:ascii="Avenir" w:eastAsia="Avenir" w:hAnsi="Avenir" w:cs="Avenir"/>
              <w:sz w:val="22"/>
              <w:szCs w:val="22"/>
            </w:rPr>
            <w:t xml:space="preserve"> The patient places 800 mcg of misoprostol in the vagina or buccally.</w:t>
          </w:r>
        </w:sdtContent>
      </w:sdt>
      <w:r>
        <w:rPr>
          <w:rFonts w:ascii="Avenir" w:eastAsia="Avenir" w:hAnsi="Avenir" w:cs="Avenir"/>
          <w:sz w:val="22"/>
          <w:szCs w:val="22"/>
        </w:rPr>
        <w:t xml:space="preserve"> The patient should be instructed to lie down for 30 minutes following </w:t>
      </w:r>
      <w:sdt>
        <w:sdtPr>
          <w:tag w:val="goog_rdk_42"/>
          <w:id w:val="1125658713"/>
        </w:sdtPr>
        <w:sdtContent>
          <w:r>
            <w:rPr>
              <w:rFonts w:ascii="Avenir" w:eastAsia="Avenir" w:hAnsi="Avenir" w:cs="Avenir"/>
              <w:sz w:val="22"/>
              <w:szCs w:val="22"/>
            </w:rPr>
            <w:t xml:space="preserve">vaginal </w:t>
          </w:r>
        </w:sdtContent>
      </w:sdt>
      <w:r>
        <w:rPr>
          <w:rFonts w:ascii="Avenir" w:eastAsia="Avenir" w:hAnsi="Avenir" w:cs="Avenir"/>
          <w:sz w:val="22"/>
          <w:szCs w:val="22"/>
        </w:rPr>
        <w:t xml:space="preserve">insertion of misoprostol. Consider prescribing a second dose of 800 mcg of misoprostol in case heavy bleeding does not occur within 12-24 hours of the first dose.  </w:t>
      </w:r>
    </w:p>
    <w:p w14:paraId="00000017" w14:textId="77777777" w:rsidR="004634E9" w:rsidRDefault="004634E9">
      <w:pPr>
        <w:ind w:left="720"/>
        <w:rPr>
          <w:rFonts w:ascii="Avenir" w:eastAsia="Avenir" w:hAnsi="Avenir" w:cs="Avenir"/>
          <w:sz w:val="22"/>
          <w:szCs w:val="22"/>
        </w:rPr>
      </w:pPr>
    </w:p>
    <w:p w14:paraId="00000018" w14:textId="4C8981F5" w:rsidR="004634E9" w:rsidRDefault="00000000">
      <w:pPr>
        <w:numPr>
          <w:ilvl w:val="0"/>
          <w:numId w:val="2"/>
        </w:numPr>
        <w:rPr>
          <w:rFonts w:ascii="Avenir" w:eastAsia="Avenir" w:hAnsi="Avenir" w:cs="Avenir"/>
          <w:sz w:val="22"/>
          <w:szCs w:val="22"/>
        </w:rPr>
      </w:pPr>
      <w:sdt>
        <w:sdtPr>
          <w:tag w:val="goog_rdk_45"/>
          <w:id w:val="-1651059218"/>
        </w:sdtPr>
        <w:sdtContent>
          <w:r w:rsidRPr="00CD42BB">
            <w:rPr>
              <w:rFonts w:ascii="Avenir" w:eastAsia="Avenir" w:hAnsi="Avenir" w:cs="Avenir"/>
              <w:b/>
              <w:bCs/>
              <w:sz w:val="22"/>
              <w:szCs w:val="22"/>
            </w:rPr>
            <w:t>Supportive</w:t>
          </w:r>
        </w:sdtContent>
      </w:sdt>
      <w:r>
        <w:rPr>
          <w:rFonts w:ascii="Avenir" w:eastAsia="Avenir" w:hAnsi="Avenir" w:cs="Avenir"/>
          <w:b/>
          <w:sz w:val="22"/>
          <w:szCs w:val="22"/>
        </w:rPr>
        <w:t xml:space="preserve"> medications:</w:t>
      </w:r>
      <w:r>
        <w:rPr>
          <w:rFonts w:ascii="Avenir" w:eastAsia="Avenir" w:hAnsi="Avenir" w:cs="Avenir"/>
          <w:sz w:val="22"/>
          <w:szCs w:val="22"/>
        </w:rPr>
        <w:t xml:space="preserve"> A prescription for </w:t>
      </w:r>
      <w:sdt>
        <w:sdtPr>
          <w:tag w:val="goog_rdk_47"/>
          <w:id w:val="1305437429"/>
        </w:sdtPr>
        <w:sdtContent>
          <w:r>
            <w:rPr>
              <w:rFonts w:ascii="Avenir" w:eastAsia="Avenir" w:hAnsi="Avenir" w:cs="Avenir"/>
              <w:sz w:val="22"/>
              <w:szCs w:val="22"/>
            </w:rPr>
            <w:t xml:space="preserve">a non-steroidal anti-inflammatory medication, such as </w:t>
          </w:r>
        </w:sdtContent>
      </w:sdt>
      <w:r>
        <w:rPr>
          <w:rFonts w:ascii="Avenir" w:eastAsia="Avenir" w:hAnsi="Avenir" w:cs="Avenir"/>
          <w:sz w:val="22"/>
          <w:szCs w:val="22"/>
        </w:rPr>
        <w:t>ibuprofen</w:t>
      </w:r>
      <w:sdt>
        <w:sdtPr>
          <w:tag w:val="goog_rdk_48"/>
          <w:id w:val="1471172778"/>
        </w:sdtPr>
        <w:sdtContent>
          <w:r>
            <w:rPr>
              <w:rFonts w:ascii="Avenir" w:eastAsia="Avenir" w:hAnsi="Avenir" w:cs="Avenir"/>
              <w:sz w:val="22"/>
              <w:szCs w:val="22"/>
            </w:rPr>
            <w:t xml:space="preserve"> or naproxen,</w:t>
          </w:r>
        </w:sdtContent>
      </w:sdt>
      <w:r>
        <w:rPr>
          <w:rFonts w:ascii="Avenir" w:eastAsia="Avenir" w:hAnsi="Avenir" w:cs="Avenir"/>
          <w:sz w:val="22"/>
          <w:szCs w:val="22"/>
        </w:rPr>
        <w:t xml:space="preserve"> should be offered to the patient. Instruct the patient to take </w:t>
      </w:r>
      <w:sdt>
        <w:sdtPr>
          <w:tag w:val="goog_rdk_50"/>
          <w:id w:val="1621962824"/>
        </w:sdtPr>
        <w:sdtContent>
          <w:r>
            <w:rPr>
              <w:rFonts w:ascii="Avenir" w:eastAsia="Avenir" w:hAnsi="Avenir" w:cs="Avenir"/>
              <w:sz w:val="22"/>
              <w:szCs w:val="22"/>
            </w:rPr>
            <w:t>pain medication</w:t>
          </w:r>
        </w:sdtContent>
      </w:sdt>
      <w:r>
        <w:rPr>
          <w:rFonts w:ascii="Avenir" w:eastAsia="Avenir" w:hAnsi="Avenir" w:cs="Avenir"/>
          <w:sz w:val="22"/>
          <w:szCs w:val="22"/>
        </w:rPr>
        <w:t xml:space="preserve"> prior to misoprostol insertion, and then as needed for pain. </w:t>
      </w:r>
      <w:sdt>
        <w:sdtPr>
          <w:tag w:val="goog_rdk_53"/>
          <w:id w:val="-1611350782"/>
        </w:sdtPr>
        <w:sdtContent>
          <w:r>
            <w:rPr>
              <w:rFonts w:ascii="Avenir" w:eastAsia="Avenir" w:hAnsi="Avenir" w:cs="Avenir"/>
              <w:sz w:val="22"/>
              <w:szCs w:val="22"/>
            </w:rPr>
            <w:t xml:space="preserve">Offering anti-emetics, such as ondansetron or meclizine, may also be considered. </w:t>
          </w:r>
        </w:sdtContent>
      </w:sdt>
      <w:sdt>
        <w:sdtPr>
          <w:tag w:val="goog_rdk_54"/>
          <w:id w:val="-673948930"/>
        </w:sdtPr>
        <w:sdtContent>
          <w:sdt>
            <w:sdtPr>
              <w:tag w:val="goog_rdk_55"/>
              <w:id w:val="1442951700"/>
            </w:sdtPr>
            <w:sdtContent/>
          </w:sdt>
        </w:sdtContent>
      </w:sdt>
    </w:p>
    <w:p w14:paraId="00000019" w14:textId="77777777" w:rsidR="004634E9" w:rsidRDefault="004634E9">
      <w:pPr>
        <w:ind w:left="720"/>
        <w:rPr>
          <w:rFonts w:ascii="Avenir" w:eastAsia="Avenir" w:hAnsi="Avenir" w:cs="Avenir"/>
          <w:sz w:val="22"/>
          <w:szCs w:val="22"/>
        </w:rPr>
      </w:pPr>
    </w:p>
    <w:p w14:paraId="0000001A" w14:textId="5A250DE5" w:rsidR="004634E9" w:rsidRDefault="00000000">
      <w:pPr>
        <w:numPr>
          <w:ilvl w:val="0"/>
          <w:numId w:val="2"/>
        </w:numPr>
        <w:rPr>
          <w:rFonts w:ascii="Avenir" w:eastAsia="Avenir" w:hAnsi="Avenir" w:cs="Avenir"/>
          <w:sz w:val="22"/>
          <w:szCs w:val="22"/>
        </w:rPr>
      </w:pPr>
      <w:r>
        <w:rPr>
          <w:rFonts w:ascii="Avenir" w:eastAsia="Avenir" w:hAnsi="Avenir" w:cs="Avenir"/>
          <w:b/>
          <w:sz w:val="22"/>
          <w:szCs w:val="22"/>
        </w:rPr>
        <w:t>Patient Instructions</w:t>
      </w:r>
      <w:r>
        <w:rPr>
          <w:rFonts w:ascii="Avenir" w:eastAsia="Avenir" w:hAnsi="Avenir" w:cs="Avenir"/>
          <w:sz w:val="22"/>
          <w:szCs w:val="22"/>
        </w:rPr>
        <w:t xml:space="preserve"> (see</w:t>
      </w:r>
      <w:r w:rsidR="003C4F5D">
        <w:rPr>
          <w:rFonts w:ascii="Avenir" w:eastAsia="Avenir" w:hAnsi="Avenir" w:cs="Avenir"/>
          <w:sz w:val="22"/>
          <w:szCs w:val="22"/>
        </w:rPr>
        <w:t xml:space="preserve"> </w:t>
      </w:r>
      <w:hyperlink r:id="rId15" w:history="1">
        <w:r w:rsidR="003C4F5D" w:rsidRPr="003C4F5D">
          <w:rPr>
            <w:rStyle w:val="Hyperlink"/>
            <w:rFonts w:ascii="Avenir" w:eastAsia="Avenir" w:hAnsi="Avenir" w:cs="Avenir"/>
            <w:sz w:val="22"/>
            <w:szCs w:val="22"/>
          </w:rPr>
          <w:t>RHAP take home instructions</w:t>
        </w:r>
      </w:hyperlink>
      <w:r>
        <w:rPr>
          <w:rFonts w:ascii="Avenir" w:eastAsia="Avenir" w:hAnsi="Avenir" w:cs="Avenir"/>
          <w:sz w:val="22"/>
          <w:szCs w:val="22"/>
        </w:rPr>
        <w:t xml:space="preserve"> to give to patient):</w:t>
      </w:r>
    </w:p>
    <w:p w14:paraId="0000001B" w14:textId="77777777" w:rsidR="004634E9" w:rsidRDefault="00000000">
      <w:pPr>
        <w:ind w:left="720"/>
        <w:rPr>
          <w:rFonts w:ascii="Avenir" w:eastAsia="Avenir" w:hAnsi="Avenir" w:cs="Avenir"/>
          <w:sz w:val="22"/>
          <w:szCs w:val="22"/>
        </w:rPr>
      </w:pPr>
      <w:r>
        <w:rPr>
          <w:rFonts w:ascii="Avenir" w:eastAsia="Avenir" w:hAnsi="Avenir" w:cs="Avenir"/>
          <w:sz w:val="22"/>
          <w:szCs w:val="22"/>
        </w:rPr>
        <w:t xml:space="preserve">The patient should be given contact information for how to reach their provider and be provided with guidelines regarding when to call. Patients should be instructed to call for: </w:t>
      </w:r>
    </w:p>
    <w:p w14:paraId="0000001C" w14:textId="00A6109A" w:rsidR="004634E9" w:rsidRPr="00CD42BB" w:rsidRDefault="00000000" w:rsidP="00CD42BB">
      <w:pPr>
        <w:pStyle w:val="ListParagraph"/>
        <w:numPr>
          <w:ilvl w:val="0"/>
          <w:numId w:val="1"/>
        </w:numPr>
        <w:rPr>
          <w:rFonts w:ascii="Avenir" w:eastAsia="Avenir" w:hAnsi="Avenir" w:cs="Avenir"/>
          <w:sz w:val="22"/>
          <w:szCs w:val="22"/>
        </w:rPr>
      </w:pPr>
      <w:r w:rsidRPr="00CD42BB">
        <w:rPr>
          <w:rFonts w:ascii="Avenir" w:eastAsia="Avenir" w:hAnsi="Avenir" w:cs="Avenir"/>
          <w:sz w:val="22"/>
          <w:szCs w:val="22"/>
        </w:rPr>
        <w:t>Heavy bleeding, defined as soaking through two thick maxi pads per hour for 2 hours in a row;</w:t>
      </w:r>
    </w:p>
    <w:p w14:paraId="0000001D" w14:textId="77777777" w:rsidR="004634E9" w:rsidRDefault="00000000">
      <w:pPr>
        <w:numPr>
          <w:ilvl w:val="0"/>
          <w:numId w:val="1"/>
        </w:numPr>
        <w:rPr>
          <w:rFonts w:ascii="Avenir" w:eastAsia="Avenir" w:hAnsi="Avenir" w:cs="Avenir"/>
          <w:sz w:val="22"/>
          <w:szCs w:val="22"/>
        </w:rPr>
      </w:pPr>
      <w:r>
        <w:rPr>
          <w:rFonts w:ascii="Avenir" w:eastAsia="Avenir" w:hAnsi="Avenir" w:cs="Avenir"/>
          <w:sz w:val="22"/>
          <w:szCs w:val="22"/>
        </w:rPr>
        <w:t>Fever or purulent vaginal discharge; or</w:t>
      </w:r>
    </w:p>
    <w:p w14:paraId="0000001E" w14:textId="77777777" w:rsidR="004634E9" w:rsidRDefault="00000000">
      <w:pPr>
        <w:numPr>
          <w:ilvl w:val="0"/>
          <w:numId w:val="1"/>
        </w:numPr>
        <w:rPr>
          <w:rFonts w:ascii="Avenir" w:eastAsia="Avenir" w:hAnsi="Avenir" w:cs="Avenir"/>
          <w:sz w:val="22"/>
          <w:szCs w:val="22"/>
        </w:rPr>
      </w:pPr>
      <w:r>
        <w:rPr>
          <w:rFonts w:ascii="Avenir" w:eastAsia="Avenir" w:hAnsi="Avenir" w:cs="Avenir"/>
          <w:sz w:val="22"/>
          <w:szCs w:val="22"/>
        </w:rPr>
        <w:t>Uncontrolled pelvic cramps or pain not improved with medication.</w:t>
      </w:r>
    </w:p>
    <w:p w14:paraId="59DE562C" w14:textId="77777777" w:rsidR="00982025" w:rsidRDefault="00982025" w:rsidP="00CD42BB">
      <w:pPr>
        <w:rPr>
          <w:rFonts w:ascii="Avenir" w:eastAsia="Avenir" w:hAnsi="Avenir" w:cs="Avenir"/>
          <w:sz w:val="22"/>
          <w:szCs w:val="22"/>
        </w:rPr>
      </w:pPr>
    </w:p>
    <w:p w14:paraId="00000020" w14:textId="0D10D594" w:rsidR="004634E9" w:rsidRDefault="00000000" w:rsidP="00CD42BB">
      <w:pPr>
        <w:rPr>
          <w:rFonts w:ascii="Avenir" w:eastAsia="Avenir" w:hAnsi="Avenir" w:cs="Avenir"/>
          <w:sz w:val="22"/>
          <w:szCs w:val="22"/>
        </w:rPr>
      </w:pPr>
      <w:r>
        <w:rPr>
          <w:rFonts w:ascii="Avenir" w:eastAsia="Avenir" w:hAnsi="Avenir" w:cs="Avenir"/>
          <w:sz w:val="22"/>
          <w:szCs w:val="22"/>
        </w:rPr>
        <w:t xml:space="preserve">The patient does not need to bring products of conception back to the </w:t>
      </w:r>
      <w:sdt>
        <w:sdtPr>
          <w:tag w:val="goog_rdk_57"/>
          <w:id w:val="199833263"/>
        </w:sdtPr>
        <w:sdtContent>
          <w:r>
            <w:rPr>
              <w:rFonts w:ascii="Avenir" w:eastAsia="Avenir" w:hAnsi="Avenir" w:cs="Avenir"/>
              <w:sz w:val="22"/>
              <w:szCs w:val="22"/>
            </w:rPr>
            <w:t>clinician.</w:t>
          </w:r>
        </w:sdtContent>
      </w:sdt>
      <w:sdt>
        <w:sdtPr>
          <w:tag w:val="goog_rdk_58"/>
          <w:id w:val="545567856"/>
          <w:showingPlcHdr/>
        </w:sdtPr>
        <w:sdtContent>
          <w:r w:rsidR="00CD42BB">
            <w:t xml:space="preserve">     </w:t>
          </w:r>
        </w:sdtContent>
      </w:sdt>
      <w:r>
        <w:rPr>
          <w:rFonts w:ascii="Avenir" w:eastAsia="Avenir" w:hAnsi="Avenir" w:cs="Avenir"/>
          <w:sz w:val="22"/>
          <w:szCs w:val="22"/>
        </w:rPr>
        <w:t xml:space="preserve"> </w:t>
      </w:r>
      <w:sdt>
        <w:sdtPr>
          <w:tag w:val="goog_rdk_59"/>
          <w:id w:val="-1837454832"/>
          <w:showingPlcHdr/>
        </w:sdtPr>
        <w:sdtContent>
          <w:r w:rsidR="00CD42BB">
            <w:t xml:space="preserve">     </w:t>
          </w:r>
        </w:sdtContent>
      </w:sdt>
    </w:p>
    <w:p w14:paraId="00000021" w14:textId="77777777" w:rsidR="004634E9" w:rsidRDefault="004634E9">
      <w:pPr>
        <w:ind w:left="720"/>
        <w:rPr>
          <w:rFonts w:ascii="Avenir" w:eastAsia="Avenir" w:hAnsi="Avenir" w:cs="Avenir"/>
          <w:sz w:val="22"/>
          <w:szCs w:val="22"/>
        </w:rPr>
      </w:pPr>
    </w:p>
    <w:p w14:paraId="00000022" w14:textId="77777777" w:rsidR="004634E9" w:rsidRDefault="00000000">
      <w:pPr>
        <w:numPr>
          <w:ilvl w:val="0"/>
          <w:numId w:val="2"/>
        </w:numPr>
        <w:rPr>
          <w:rFonts w:ascii="Avenir" w:eastAsia="Avenir" w:hAnsi="Avenir" w:cs="Avenir"/>
          <w:sz w:val="22"/>
          <w:szCs w:val="22"/>
        </w:rPr>
      </w:pPr>
      <w:r>
        <w:rPr>
          <w:rFonts w:ascii="Avenir" w:eastAsia="Avenir" w:hAnsi="Avenir" w:cs="Avenir"/>
          <w:b/>
          <w:sz w:val="22"/>
          <w:szCs w:val="22"/>
        </w:rPr>
        <w:t>Follow up:</w:t>
      </w:r>
      <w:r>
        <w:rPr>
          <w:rFonts w:ascii="Avenir" w:eastAsia="Avenir" w:hAnsi="Avenir" w:cs="Avenir"/>
          <w:sz w:val="22"/>
          <w:szCs w:val="22"/>
        </w:rPr>
        <w:t xml:space="preserve"> Patients should schedule follow-up to ensure a complete passage of tissue in one of two ways: 1) repeat quantitative serum </w:t>
      </w:r>
      <w:proofErr w:type="spellStart"/>
      <w:r>
        <w:rPr>
          <w:rFonts w:ascii="Avenir" w:eastAsia="Avenir" w:hAnsi="Avenir" w:cs="Avenir"/>
          <w:sz w:val="22"/>
          <w:szCs w:val="22"/>
        </w:rPr>
        <w:t>hCG</w:t>
      </w:r>
      <w:proofErr w:type="spellEnd"/>
      <w:r>
        <w:rPr>
          <w:rFonts w:ascii="Avenir" w:eastAsia="Avenir" w:hAnsi="Avenir" w:cs="Avenir"/>
          <w:sz w:val="22"/>
          <w:szCs w:val="22"/>
        </w:rPr>
        <w:t xml:space="preserve"> level following passage of tissue (a drop of 80% by 7 days) or 2) a transvaginal ultrasound with absence of sac. Note: if one of these criteria has been met, no further follow-up of serum </w:t>
      </w:r>
      <w:proofErr w:type="spellStart"/>
      <w:r>
        <w:rPr>
          <w:rFonts w:ascii="Avenir" w:eastAsia="Avenir" w:hAnsi="Avenir" w:cs="Avenir"/>
          <w:sz w:val="22"/>
          <w:szCs w:val="22"/>
        </w:rPr>
        <w:t>hCGs</w:t>
      </w:r>
      <w:proofErr w:type="spellEnd"/>
      <w:r>
        <w:rPr>
          <w:rFonts w:ascii="Avenir" w:eastAsia="Avenir" w:hAnsi="Avenir" w:cs="Avenir"/>
          <w:sz w:val="22"/>
          <w:szCs w:val="22"/>
        </w:rPr>
        <w:t xml:space="preserve"> is warranted.</w:t>
      </w:r>
    </w:p>
    <w:p w14:paraId="00000023" w14:textId="77777777" w:rsidR="004634E9" w:rsidRDefault="004634E9">
      <w:pPr>
        <w:ind w:left="720"/>
        <w:rPr>
          <w:rFonts w:ascii="Avenir" w:eastAsia="Avenir" w:hAnsi="Avenir" w:cs="Avenir"/>
          <w:sz w:val="22"/>
          <w:szCs w:val="22"/>
        </w:rPr>
      </w:pPr>
    </w:p>
    <w:p w14:paraId="00000024" w14:textId="4D8A9DCB" w:rsidR="004634E9" w:rsidRDefault="00000000" w:rsidP="00CD42BB">
      <w:pPr>
        <w:rPr>
          <w:rFonts w:ascii="Avenir" w:eastAsia="Avenir" w:hAnsi="Avenir" w:cs="Avenir"/>
          <w:sz w:val="22"/>
          <w:szCs w:val="22"/>
        </w:rPr>
      </w:pPr>
      <w:r>
        <w:rPr>
          <w:rFonts w:ascii="Avenir" w:eastAsia="Avenir" w:hAnsi="Avenir" w:cs="Avenir"/>
          <w:sz w:val="22"/>
          <w:szCs w:val="22"/>
        </w:rPr>
        <w:t>If no passage of tissue occurs (the patient has not bled as much as a period) within 12-24 hours of taking the misoprostol, the patient may use a second dose of 800 mcg misoprostol. If no passage of tissue occurs by 48 hours, the patient may resume expectant management or be referred for uterine aspiration.</w:t>
      </w:r>
    </w:p>
    <w:p w14:paraId="00000025" w14:textId="77777777" w:rsidR="004634E9" w:rsidRDefault="004634E9">
      <w:pPr>
        <w:ind w:left="720"/>
        <w:rPr>
          <w:rFonts w:ascii="Avenir" w:eastAsia="Avenir" w:hAnsi="Avenir" w:cs="Avenir"/>
          <w:sz w:val="22"/>
          <w:szCs w:val="22"/>
        </w:rPr>
      </w:pPr>
    </w:p>
    <w:p w14:paraId="00000026" w14:textId="77777777" w:rsidR="004634E9" w:rsidRDefault="00000000">
      <w:pPr>
        <w:numPr>
          <w:ilvl w:val="0"/>
          <w:numId w:val="2"/>
        </w:numPr>
        <w:rPr>
          <w:rFonts w:ascii="Avenir" w:eastAsia="Avenir" w:hAnsi="Avenir" w:cs="Avenir"/>
          <w:sz w:val="22"/>
          <w:szCs w:val="22"/>
        </w:rPr>
      </w:pPr>
      <w:r>
        <w:rPr>
          <w:rFonts w:ascii="Avenir" w:eastAsia="Avenir" w:hAnsi="Avenir" w:cs="Avenir"/>
          <w:b/>
          <w:sz w:val="22"/>
          <w:szCs w:val="22"/>
        </w:rPr>
        <w:t>Documentation:</w:t>
      </w:r>
      <w:r>
        <w:rPr>
          <w:rFonts w:ascii="Avenir" w:eastAsia="Avenir" w:hAnsi="Avenir" w:cs="Avenir"/>
          <w:sz w:val="22"/>
          <w:szCs w:val="22"/>
        </w:rPr>
        <w:t xml:space="preserve"> A chart note must be completed, to document the above and ensure a follow-up plan. </w:t>
      </w:r>
    </w:p>
    <w:p w14:paraId="00000027" w14:textId="77777777" w:rsidR="004634E9" w:rsidRDefault="004634E9">
      <w:pPr>
        <w:ind w:firstLine="720"/>
        <w:rPr>
          <w:rFonts w:ascii="Avenir" w:eastAsia="Avenir" w:hAnsi="Avenir" w:cs="Avenir"/>
          <w:sz w:val="22"/>
          <w:szCs w:val="22"/>
        </w:rPr>
      </w:pPr>
    </w:p>
    <w:p w14:paraId="00000028" w14:textId="4EAE8BD3" w:rsidR="004634E9" w:rsidRDefault="00000000">
      <w:pPr>
        <w:rPr>
          <w:rFonts w:ascii="Avenir" w:eastAsia="Avenir" w:hAnsi="Avenir" w:cs="Avenir"/>
          <w:sz w:val="22"/>
          <w:szCs w:val="22"/>
        </w:rPr>
      </w:pPr>
      <w:r>
        <w:rPr>
          <w:rFonts w:ascii="Avenir" w:eastAsia="Avenir" w:hAnsi="Avenir" w:cs="Avenir"/>
          <w:sz w:val="22"/>
          <w:szCs w:val="22"/>
        </w:rPr>
        <w:t>*If mifepristone is not available, misoprostol alone can be used, with a success rate of 67%</w:t>
      </w:r>
      <w:sdt>
        <w:sdtPr>
          <w:tag w:val="goog_rdk_61"/>
          <w:id w:val="-2006201677"/>
        </w:sdtPr>
        <w:sdtContent>
          <w:r>
            <w:rPr>
              <w:rFonts w:ascii="Avenir" w:eastAsia="Avenir" w:hAnsi="Avenir" w:cs="Avenir"/>
              <w:sz w:val="22"/>
              <w:szCs w:val="22"/>
            </w:rPr>
            <w:t xml:space="preserve"> by 2 days and 89% by 8 days</w:t>
          </w:r>
        </w:sdtContent>
      </w:sdt>
      <w:sdt>
        <w:sdtPr>
          <w:tag w:val="goog_rdk_62"/>
          <w:id w:val="-1545129943"/>
          <w:showingPlcHdr/>
        </w:sdtPr>
        <w:sdtContent>
          <w:r w:rsidR="00CD42BB">
            <w:t xml:space="preserve">     </w:t>
          </w:r>
        </w:sdtContent>
      </w:sdt>
      <w:r>
        <w:rPr>
          <w:rFonts w:ascii="Avenir" w:eastAsia="Avenir" w:hAnsi="Avenir" w:cs="Avenir"/>
          <w:sz w:val="22"/>
          <w:szCs w:val="22"/>
        </w:rPr>
        <w:t>.</w:t>
      </w:r>
    </w:p>
    <w:p w14:paraId="67A0424B" w14:textId="77777777" w:rsidR="00982025" w:rsidRDefault="00982025">
      <w:pPr>
        <w:pStyle w:val="Heading1"/>
        <w:rPr>
          <w:rFonts w:ascii="Avenir" w:eastAsia="Avenir" w:hAnsi="Avenir" w:cs="Avenir"/>
          <w:sz w:val="22"/>
          <w:szCs w:val="22"/>
        </w:rPr>
      </w:pPr>
    </w:p>
    <w:p w14:paraId="44CD24FD" w14:textId="77777777" w:rsidR="00982025" w:rsidRDefault="00982025">
      <w:pPr>
        <w:rPr>
          <w:rFonts w:ascii="Avenir" w:eastAsia="Avenir" w:hAnsi="Avenir" w:cs="Avenir"/>
          <w:b/>
          <w:sz w:val="22"/>
          <w:szCs w:val="22"/>
        </w:rPr>
      </w:pPr>
      <w:r>
        <w:rPr>
          <w:rFonts w:ascii="Avenir" w:eastAsia="Avenir" w:hAnsi="Avenir" w:cs="Avenir"/>
          <w:sz w:val="22"/>
          <w:szCs w:val="22"/>
        </w:rPr>
        <w:br w:type="page"/>
      </w:r>
    </w:p>
    <w:p w14:paraId="0000002A" w14:textId="5169040C" w:rsidR="004634E9" w:rsidRDefault="00000000">
      <w:pPr>
        <w:pStyle w:val="Heading1"/>
        <w:rPr>
          <w:rFonts w:ascii="Avenir" w:eastAsia="Avenir" w:hAnsi="Avenir" w:cs="Avenir"/>
          <w:sz w:val="22"/>
          <w:szCs w:val="22"/>
        </w:rPr>
      </w:pPr>
      <w:r>
        <w:rPr>
          <w:rFonts w:ascii="Avenir" w:eastAsia="Avenir" w:hAnsi="Avenir" w:cs="Avenir"/>
          <w:sz w:val="22"/>
          <w:szCs w:val="22"/>
        </w:rPr>
        <w:lastRenderedPageBreak/>
        <w:t>References</w:t>
      </w:r>
    </w:p>
    <w:p w14:paraId="0000002B" w14:textId="77777777" w:rsidR="004634E9" w:rsidRDefault="004634E9">
      <w:pPr>
        <w:rPr>
          <w:rFonts w:ascii="Avenir" w:eastAsia="Avenir" w:hAnsi="Avenir" w:cs="Avenir"/>
          <w:sz w:val="22"/>
          <w:szCs w:val="22"/>
          <w:highlight w:val="white"/>
        </w:rPr>
      </w:pPr>
    </w:p>
    <w:p w14:paraId="0000002C" w14:textId="77777777" w:rsidR="004634E9" w:rsidRDefault="00000000">
      <w:pPr>
        <w:rPr>
          <w:rFonts w:ascii="Avenir" w:eastAsia="Avenir" w:hAnsi="Avenir" w:cs="Avenir"/>
          <w:sz w:val="22"/>
          <w:szCs w:val="22"/>
          <w:highlight w:val="white"/>
        </w:rPr>
      </w:pPr>
      <w:sdt>
        <w:sdtPr>
          <w:tag w:val="goog_rdk_64"/>
          <w:id w:val="-606889071"/>
        </w:sdtPr>
        <w:sdtContent>
          <w:r>
            <w:rPr>
              <w:rFonts w:ascii="Avenir" w:eastAsia="Avenir" w:hAnsi="Avenir" w:cs="Avenir"/>
              <w:sz w:val="22"/>
              <w:szCs w:val="22"/>
              <w:highlight w:val="white"/>
            </w:rPr>
            <w:t>Horvath S, Goyal V, Traxler S, Prager S. Society of Family Planning committee consensus on Rh testing in early pregnancy. Contraception. 2022;114:1-5. doi:10.1016/j.contraception.2022.07.002</w:t>
          </w:r>
        </w:sdtContent>
      </w:sdt>
    </w:p>
    <w:p w14:paraId="0000002D" w14:textId="77777777" w:rsidR="004634E9" w:rsidRDefault="004634E9">
      <w:pPr>
        <w:rPr>
          <w:rFonts w:ascii="Avenir" w:eastAsia="Avenir" w:hAnsi="Avenir" w:cs="Avenir"/>
          <w:sz w:val="22"/>
          <w:szCs w:val="22"/>
          <w:highlight w:val="white"/>
        </w:rPr>
      </w:pPr>
    </w:p>
    <w:p w14:paraId="76067B6E" w14:textId="77777777" w:rsidR="0040124C" w:rsidRDefault="0040124C" w:rsidP="0040124C">
      <w:pPr>
        <w:pStyle w:val="NormalWeb"/>
        <w:spacing w:before="0" w:beforeAutospacing="0" w:after="0" w:afterAutospacing="0"/>
      </w:pPr>
      <w:r>
        <w:rPr>
          <w:rFonts w:ascii="Avenir" w:hAnsi="Avenir"/>
          <w:color w:val="000000"/>
          <w:sz w:val="22"/>
          <w:szCs w:val="22"/>
        </w:rPr>
        <w:t xml:space="preserve">Prager S, Micks E, Dalton VK. Pregnancy loss (miscarriage): Clinical presentations, diagnosis, and initial evaluation. 2023. </w:t>
      </w:r>
      <w:hyperlink r:id="rId16" w:history="1">
        <w:r>
          <w:rPr>
            <w:rStyle w:val="Hyperlink"/>
            <w:rFonts w:ascii="Avenir" w:hAnsi="Avenir"/>
            <w:color w:val="1155CC"/>
            <w:sz w:val="22"/>
            <w:szCs w:val="22"/>
          </w:rPr>
          <w:t>https://www.uptodate.com/contents/pregnancy-loss-miscarriage-clinical-presentations-diagnosis-and-initial-evaluation</w:t>
        </w:r>
      </w:hyperlink>
      <w:r>
        <w:rPr>
          <w:rFonts w:ascii="Avenir" w:hAnsi="Avenir"/>
          <w:color w:val="000000"/>
          <w:sz w:val="22"/>
          <w:szCs w:val="22"/>
        </w:rPr>
        <w:t> </w:t>
      </w:r>
    </w:p>
    <w:p w14:paraId="71BA211F" w14:textId="77777777" w:rsidR="0040124C" w:rsidRDefault="0040124C" w:rsidP="0040124C"/>
    <w:p w14:paraId="0000002E" w14:textId="77F0995D" w:rsidR="004634E9" w:rsidRDefault="00000000">
      <w:pPr>
        <w:rPr>
          <w:rFonts w:ascii="Avenir" w:eastAsia="Avenir" w:hAnsi="Avenir" w:cs="Avenir"/>
          <w:color w:val="000000"/>
          <w:sz w:val="22"/>
          <w:szCs w:val="22"/>
        </w:rPr>
      </w:pPr>
      <w:proofErr w:type="spellStart"/>
      <w:r>
        <w:rPr>
          <w:rFonts w:ascii="Avenir" w:eastAsia="Avenir" w:hAnsi="Avenir" w:cs="Avenir"/>
          <w:color w:val="000000"/>
          <w:sz w:val="22"/>
          <w:szCs w:val="22"/>
          <w:highlight w:val="white"/>
        </w:rPr>
        <w:t>Prine</w:t>
      </w:r>
      <w:proofErr w:type="spellEnd"/>
      <w:r>
        <w:rPr>
          <w:rFonts w:ascii="Avenir" w:eastAsia="Avenir" w:hAnsi="Avenir" w:cs="Avenir"/>
          <w:color w:val="000000"/>
          <w:sz w:val="22"/>
          <w:szCs w:val="22"/>
          <w:highlight w:val="white"/>
        </w:rPr>
        <w:t xml:space="preserve"> LW, </w:t>
      </w:r>
      <w:proofErr w:type="spellStart"/>
      <w:r>
        <w:rPr>
          <w:rFonts w:ascii="Avenir" w:eastAsia="Avenir" w:hAnsi="Avenir" w:cs="Avenir"/>
          <w:color w:val="000000"/>
          <w:sz w:val="22"/>
          <w:szCs w:val="22"/>
          <w:highlight w:val="white"/>
        </w:rPr>
        <w:t>MacNaughton</w:t>
      </w:r>
      <w:proofErr w:type="spellEnd"/>
      <w:r>
        <w:rPr>
          <w:rFonts w:ascii="Avenir" w:eastAsia="Avenir" w:hAnsi="Avenir" w:cs="Avenir"/>
          <w:color w:val="000000"/>
          <w:sz w:val="22"/>
          <w:szCs w:val="22"/>
          <w:highlight w:val="white"/>
        </w:rPr>
        <w:t xml:space="preserve"> H. Office Management of Early Pregnancy Loss. Am Fam Physician. 2011;84(1):75-82.</w:t>
      </w:r>
    </w:p>
    <w:p w14:paraId="0000002F" w14:textId="77777777" w:rsidR="004634E9" w:rsidRDefault="004634E9">
      <w:pPr>
        <w:rPr>
          <w:rFonts w:ascii="Avenir" w:eastAsia="Avenir" w:hAnsi="Avenir" w:cs="Avenir"/>
          <w:sz w:val="22"/>
          <w:szCs w:val="22"/>
        </w:rPr>
      </w:pPr>
    </w:p>
    <w:p w14:paraId="00000030" w14:textId="77777777" w:rsidR="004634E9" w:rsidRDefault="00000000">
      <w:pPr>
        <w:rPr>
          <w:rFonts w:ascii="Avenir" w:eastAsia="Avenir" w:hAnsi="Avenir" w:cs="Avenir"/>
          <w:sz w:val="22"/>
          <w:szCs w:val="22"/>
        </w:rPr>
      </w:pPr>
      <w:bookmarkStart w:id="0" w:name="_heading=h.gjdgxs" w:colFirst="0" w:colLast="0"/>
      <w:bookmarkEnd w:id="0"/>
      <w:r>
        <w:rPr>
          <w:rFonts w:ascii="Avenir" w:eastAsia="Avenir" w:hAnsi="Avenir" w:cs="Avenir"/>
          <w:sz w:val="22"/>
          <w:szCs w:val="22"/>
        </w:rPr>
        <w:t>Schreiber, CA et al. Mifepristone Pretreatment for the Medical Management of Early Pregnancy Loss N Engl J Med 2018; 378:2161-2170</w:t>
      </w:r>
    </w:p>
    <w:p w14:paraId="00000031" w14:textId="77777777" w:rsidR="004634E9" w:rsidRDefault="004634E9">
      <w:pPr>
        <w:rPr>
          <w:rFonts w:ascii="Avenir" w:eastAsia="Avenir" w:hAnsi="Avenir" w:cs="Avenir"/>
          <w:sz w:val="22"/>
          <w:szCs w:val="22"/>
        </w:rPr>
      </w:pPr>
      <w:bookmarkStart w:id="1" w:name="_heading=h.lzdw5bniv8lu" w:colFirst="0" w:colLast="0"/>
      <w:bookmarkEnd w:id="1"/>
    </w:p>
    <w:p w14:paraId="323B79B6" w14:textId="66CDD767" w:rsidR="0040124C" w:rsidRDefault="0040124C">
      <w:pPr>
        <w:rPr>
          <w:rFonts w:ascii="Avenir" w:eastAsia="Avenir" w:hAnsi="Avenir" w:cs="Avenir"/>
          <w:sz w:val="22"/>
          <w:szCs w:val="22"/>
        </w:rPr>
      </w:pPr>
      <w:bookmarkStart w:id="2" w:name="_heading=h.eso2md8j53xk" w:colFirst="0" w:colLast="0"/>
      <w:bookmarkEnd w:id="2"/>
      <w:r>
        <w:rPr>
          <w:rFonts w:ascii="Avenir" w:hAnsi="Avenir"/>
          <w:color w:val="000000"/>
          <w:sz w:val="22"/>
          <w:szCs w:val="22"/>
        </w:rPr>
        <w:t xml:space="preserve">World Health Organization. Medical management of abortion. </w:t>
      </w:r>
      <w:hyperlink r:id="rId17" w:history="1">
        <w:r>
          <w:rPr>
            <w:rStyle w:val="Hyperlink"/>
            <w:rFonts w:ascii="Avenir" w:hAnsi="Avenir"/>
            <w:color w:val="1155CC"/>
            <w:sz w:val="22"/>
            <w:szCs w:val="22"/>
          </w:rPr>
          <w:t>summary-chart-medical-management-abortion.pdf (who.int)</w:t>
        </w:r>
      </w:hyperlink>
    </w:p>
    <w:p w14:paraId="00000033" w14:textId="77777777" w:rsidR="004634E9" w:rsidRDefault="004634E9">
      <w:pPr>
        <w:rPr>
          <w:rFonts w:ascii="Avenir" w:eastAsia="Avenir" w:hAnsi="Avenir" w:cs="Avenir"/>
          <w:sz w:val="22"/>
          <w:szCs w:val="22"/>
        </w:rPr>
      </w:pPr>
      <w:bookmarkStart w:id="3" w:name="_heading=h.ac68ld6ohohw" w:colFirst="0" w:colLast="0"/>
      <w:bookmarkEnd w:id="3"/>
    </w:p>
    <w:p w14:paraId="00000035" w14:textId="064746B8" w:rsidR="004634E9" w:rsidRDefault="00511092">
      <w:pPr>
        <w:rPr>
          <w:rFonts w:ascii="Avenir" w:eastAsia="Avenir" w:hAnsi="Avenir" w:cs="Avenir"/>
          <w:sz w:val="22"/>
          <w:szCs w:val="22"/>
        </w:rPr>
      </w:pPr>
      <w:bookmarkStart w:id="4" w:name="_heading=h.438aycz84gi9" w:colFirst="0" w:colLast="0"/>
      <w:bookmarkStart w:id="5" w:name="_heading=h.35stgyce5s3n" w:colFirst="0" w:colLast="0"/>
      <w:bookmarkEnd w:id="4"/>
      <w:bookmarkEnd w:id="5"/>
      <w:r w:rsidRPr="00511092">
        <w:rPr>
          <w:rFonts w:ascii="Avenir" w:eastAsia="Avenir" w:hAnsi="Avenir" w:cs="Avenir"/>
          <w:sz w:val="22"/>
          <w:szCs w:val="22"/>
        </w:rPr>
        <w:t xml:space="preserve">Zhang J, Zhou K, Shan D, Luo X. Medical methods for first trimester abortion. Cochrane Database Syst Rev. 2022;5(5):CD002855. </w:t>
      </w:r>
    </w:p>
    <w:sectPr w:rsidR="004634E9" w:rsidSect="00982025">
      <w:headerReference w:type="default" r:id="rId18"/>
      <w:footerReference w:type="default" r:id="rId19"/>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D7A8A0" w14:textId="77777777" w:rsidR="00333DAD" w:rsidRDefault="00333DAD">
      <w:r>
        <w:separator/>
      </w:r>
    </w:p>
  </w:endnote>
  <w:endnote w:type="continuationSeparator" w:id="0">
    <w:p w14:paraId="0C780845" w14:textId="77777777" w:rsidR="00333DAD" w:rsidRDefault="00333D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venir">
    <w:panose1 w:val="02000503020000020003"/>
    <w:charset w:val="4D"/>
    <w:family w:val="swiss"/>
    <w:pitch w:val="variable"/>
    <w:sig w:usb0="800000AF" w:usb1="5000204A" w:usb2="00000000" w:usb3="00000000" w:csb0="0000009B" w:csb1="00000000"/>
    <w:embedRegular r:id="rId1" w:fontKey="{356DE4BA-EFC1-1C41-852D-6DF0D1E6D8E6}"/>
    <w:embedBold r:id="rId2" w:fontKey="{9CE00D70-3983-2443-A32A-B3998676F2A1}"/>
  </w:font>
  <w:font w:name="Times New Roman">
    <w:panose1 w:val="02020603050405020304"/>
    <w:charset w:val="00"/>
    <w:family w:val="roman"/>
    <w:pitch w:val="variable"/>
    <w:sig w:usb0="E0002EFF" w:usb1="C000785B" w:usb2="00000009" w:usb3="00000000" w:csb0="000001FF" w:csb1="00000000"/>
    <w:embedRegular r:id="rId3" w:fontKey="{F26E73E1-3348-0D4F-AB3C-1B2C1339F956}"/>
    <w:embedBold r:id="rId4" w:fontKey="{FB5E0896-B405-284B-A530-6A0E424A6227}"/>
  </w:font>
  <w:font w:name="Georgia">
    <w:panose1 w:val="02040502050405020303"/>
    <w:charset w:val="00"/>
    <w:family w:val="roman"/>
    <w:pitch w:val="variable"/>
    <w:sig w:usb0="00000287" w:usb1="00000000" w:usb2="00000000" w:usb3="00000000" w:csb0="0000009F" w:csb1="00000000"/>
    <w:embedRegular r:id="rId5" w:fontKey="{8F953B68-3A3A-1D4B-8049-3E957CEF448A}"/>
    <w:embedItalic r:id="rId6" w:fontKey="{09F00394-886D-2B4C-AC89-F3B7A9DA7922}"/>
  </w:font>
  <w:font w:name="Calibri">
    <w:panose1 w:val="020F0502020204030204"/>
    <w:charset w:val="00"/>
    <w:family w:val="swiss"/>
    <w:pitch w:val="variable"/>
    <w:sig w:usb0="E0002AFF" w:usb1="C000247B" w:usb2="00000009" w:usb3="00000000" w:csb0="000001FF" w:csb1="00000000"/>
    <w:embedRegular r:id="rId7" w:fontKey="{16F9DCF4-26B4-BC40-8AEC-F43AD707175E}"/>
  </w:font>
  <w:font w:name="Cambria">
    <w:panose1 w:val="02040503050406030204"/>
    <w:charset w:val="00"/>
    <w:family w:val="roman"/>
    <w:pitch w:val="variable"/>
    <w:sig w:usb0="E00002FF" w:usb1="400004FF" w:usb2="00000000" w:usb3="00000000" w:csb0="0000019F" w:csb1="00000000"/>
    <w:embedRegular r:id="rId8" w:fontKey="{FE09959C-6695-D940-A7B6-19BF6ED9048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37" w14:textId="7D4BDE8F" w:rsidR="004634E9" w:rsidRDefault="00B4291B">
    <w:pPr>
      <w:pBdr>
        <w:top w:val="nil"/>
        <w:left w:val="nil"/>
        <w:bottom w:val="nil"/>
        <w:right w:val="nil"/>
        <w:between w:val="nil"/>
      </w:pBdr>
      <w:tabs>
        <w:tab w:val="center" w:pos="4320"/>
        <w:tab w:val="right" w:pos="8640"/>
      </w:tabs>
      <w:rPr>
        <w:rFonts w:ascii="Avenir" w:eastAsia="Avenir" w:hAnsi="Avenir" w:cs="Avenir"/>
        <w:color w:val="000000"/>
        <w:sz w:val="22"/>
        <w:szCs w:val="22"/>
      </w:rPr>
    </w:pPr>
    <w:r>
      <w:rPr>
        <w:rFonts w:ascii="Avenir" w:eastAsia="Avenir" w:hAnsi="Avenir" w:cs="Avenir"/>
      </w:rPr>
      <w:t>November</w:t>
    </w:r>
    <w:r w:rsidR="0040124C">
      <w:rPr>
        <w:rFonts w:ascii="Avenir" w:eastAsia="Avenir" w:hAnsi="Avenir" w:cs="Avenir"/>
        <w:color w:val="000000"/>
      </w:rPr>
      <w:t xml:space="preserve"> 20</w:t>
    </w:r>
    <w:r w:rsidR="0040124C">
      <w:rPr>
        <w:rFonts w:ascii="Avenir" w:eastAsia="Avenir" w:hAnsi="Avenir" w:cs="Avenir"/>
      </w:rPr>
      <w:t>23</w:t>
    </w:r>
    <w:r w:rsidR="0040124C">
      <w:rPr>
        <w:rFonts w:ascii="Avenir" w:eastAsia="Avenir" w:hAnsi="Avenir" w:cs="Avenir"/>
        <w:color w:val="000000"/>
        <w:sz w:val="22"/>
        <w:szCs w:val="22"/>
      </w:rPr>
      <w:t xml:space="preserve"> / www.reproductiveaccess.org </w:t>
    </w:r>
    <w:r w:rsidR="0040124C">
      <w:rPr>
        <w:noProof/>
      </w:rPr>
      <w:drawing>
        <wp:anchor distT="0" distB="0" distL="114300" distR="114300" simplePos="0" relativeHeight="251658240" behindDoc="0" locked="0" layoutInCell="1" hidden="0" allowOverlap="1" wp14:anchorId="3E6DEA03" wp14:editId="19B74FFB">
          <wp:simplePos x="0" y="0"/>
          <wp:positionH relativeFrom="column">
            <wp:posOffset>4457700</wp:posOffset>
          </wp:positionH>
          <wp:positionV relativeFrom="paragraph">
            <wp:posOffset>-151763</wp:posOffset>
          </wp:positionV>
          <wp:extent cx="989330" cy="482600"/>
          <wp:effectExtent l="0" t="0" r="0" b="0"/>
          <wp:wrapSquare wrapText="bothSides" distT="0" distB="0" distL="114300" distR="11430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989330" cy="48260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A86970" w14:textId="77777777" w:rsidR="00333DAD" w:rsidRDefault="00333DAD">
      <w:r>
        <w:separator/>
      </w:r>
    </w:p>
  </w:footnote>
  <w:footnote w:type="continuationSeparator" w:id="0">
    <w:p w14:paraId="34A7B81B" w14:textId="77777777" w:rsidR="00333DAD" w:rsidRDefault="00333DA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36" w14:textId="77777777" w:rsidR="004634E9" w:rsidRDefault="004634E9">
    <w:pPr>
      <w:pBdr>
        <w:top w:val="nil"/>
        <w:left w:val="nil"/>
        <w:bottom w:val="nil"/>
        <w:right w:val="nil"/>
        <w:between w:val="nil"/>
      </w:pBdr>
      <w:tabs>
        <w:tab w:val="center" w:pos="4320"/>
        <w:tab w:val="right" w:pos="864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8D456C"/>
    <w:multiLevelType w:val="multilevel"/>
    <w:tmpl w:val="CB283F56"/>
    <w:lvl w:ilvl="0">
      <w:start w:val="1"/>
      <w:numFmt w:val="lowerLetter"/>
      <w:lvlText w:val="%1."/>
      <w:lvlJc w:val="left"/>
      <w:pPr>
        <w:ind w:left="2160" w:hanging="360"/>
      </w:pPr>
      <w:rPr>
        <w:rFonts w:ascii="Avenir" w:eastAsia="Avenir" w:hAnsi="Avenir" w:cs="Avenir"/>
        <w:u w:val="none"/>
      </w:rPr>
    </w:lvl>
    <w:lvl w:ilvl="1">
      <w:start w:val="1"/>
      <w:numFmt w:val="lowerRoman"/>
      <w:lvlText w:val="%2."/>
      <w:lvlJc w:val="right"/>
      <w:pPr>
        <w:ind w:left="2880" w:hanging="360"/>
      </w:pPr>
      <w:rPr>
        <w:u w:val="none"/>
      </w:rPr>
    </w:lvl>
    <w:lvl w:ilvl="2">
      <w:start w:val="1"/>
      <w:numFmt w:val="decimal"/>
      <w:lvlText w:val="%3."/>
      <w:lvlJc w:val="left"/>
      <w:pPr>
        <w:ind w:left="3600" w:hanging="360"/>
      </w:pPr>
      <w:rPr>
        <w:u w:val="none"/>
      </w:rPr>
    </w:lvl>
    <w:lvl w:ilvl="3">
      <w:start w:val="1"/>
      <w:numFmt w:val="lowerLetter"/>
      <w:lvlText w:val="%4."/>
      <w:lvlJc w:val="left"/>
      <w:pPr>
        <w:ind w:left="4320" w:hanging="360"/>
      </w:pPr>
      <w:rPr>
        <w:u w:val="none"/>
      </w:rPr>
    </w:lvl>
    <w:lvl w:ilvl="4">
      <w:start w:val="1"/>
      <w:numFmt w:val="lowerRoman"/>
      <w:lvlText w:val="%5."/>
      <w:lvlJc w:val="right"/>
      <w:pPr>
        <w:ind w:left="5040" w:hanging="360"/>
      </w:pPr>
      <w:rPr>
        <w:u w:val="none"/>
      </w:rPr>
    </w:lvl>
    <w:lvl w:ilvl="5">
      <w:start w:val="1"/>
      <w:numFmt w:val="decimal"/>
      <w:lvlText w:val="%6."/>
      <w:lvlJc w:val="left"/>
      <w:pPr>
        <w:ind w:left="5760" w:hanging="360"/>
      </w:pPr>
      <w:rPr>
        <w:u w:val="none"/>
      </w:rPr>
    </w:lvl>
    <w:lvl w:ilvl="6">
      <w:start w:val="1"/>
      <w:numFmt w:val="lowerLetter"/>
      <w:lvlText w:val="%7."/>
      <w:lvlJc w:val="left"/>
      <w:pPr>
        <w:ind w:left="6480" w:hanging="360"/>
      </w:pPr>
      <w:rPr>
        <w:u w:val="none"/>
      </w:rPr>
    </w:lvl>
    <w:lvl w:ilvl="7">
      <w:start w:val="1"/>
      <w:numFmt w:val="lowerRoman"/>
      <w:lvlText w:val="%8."/>
      <w:lvlJc w:val="right"/>
      <w:pPr>
        <w:ind w:left="7200" w:hanging="360"/>
      </w:pPr>
      <w:rPr>
        <w:u w:val="none"/>
      </w:rPr>
    </w:lvl>
    <w:lvl w:ilvl="8">
      <w:start w:val="1"/>
      <w:numFmt w:val="decimal"/>
      <w:lvlText w:val="%9."/>
      <w:lvlJc w:val="left"/>
      <w:pPr>
        <w:ind w:left="7920" w:hanging="360"/>
      </w:pPr>
      <w:rPr>
        <w:u w:val="none"/>
      </w:rPr>
    </w:lvl>
  </w:abstractNum>
  <w:abstractNum w:abstractNumId="1" w15:restartNumberingAfterBreak="0">
    <w:nsid w:val="54062BC9"/>
    <w:multiLevelType w:val="multilevel"/>
    <w:tmpl w:val="FB14B2D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404916469">
    <w:abstractNumId w:val="0"/>
  </w:num>
  <w:num w:numId="2" w16cid:durableId="46296993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34E9"/>
    <w:rsid w:val="00220893"/>
    <w:rsid w:val="00257556"/>
    <w:rsid w:val="00333DAD"/>
    <w:rsid w:val="003C4F5D"/>
    <w:rsid w:val="0040124C"/>
    <w:rsid w:val="004634E9"/>
    <w:rsid w:val="00511092"/>
    <w:rsid w:val="008513D7"/>
    <w:rsid w:val="00982025"/>
    <w:rsid w:val="00B4291B"/>
    <w:rsid w:val="00B63008"/>
    <w:rsid w:val="00CD42BB"/>
    <w:rsid w:val="00DC5543"/>
    <w:rsid w:val="00ED66E3"/>
    <w:rsid w:val="00F06F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2563D8C4"/>
  <w15:docId w15:val="{6F3352E2-DEAE-DF43-8B44-B86053F889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outlineLvl w:val="0"/>
    </w:pPr>
    <w:rPr>
      <w:b/>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jc w:val="center"/>
    </w:pPr>
    <w:rPr>
      <w:b/>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C1311D"/>
    <w:rPr>
      <w:sz w:val="18"/>
      <w:szCs w:val="18"/>
    </w:rPr>
  </w:style>
  <w:style w:type="character" w:customStyle="1" w:styleId="BalloonTextChar">
    <w:name w:val="Balloon Text Char"/>
    <w:basedOn w:val="DefaultParagraphFont"/>
    <w:link w:val="BalloonText"/>
    <w:uiPriority w:val="99"/>
    <w:semiHidden/>
    <w:rsid w:val="00C1311D"/>
    <w:rPr>
      <w:sz w:val="18"/>
      <w:szCs w:val="18"/>
    </w:rPr>
  </w:style>
  <w:style w:type="paragraph" w:styleId="Header">
    <w:name w:val="header"/>
    <w:basedOn w:val="Normal"/>
    <w:link w:val="HeaderChar"/>
    <w:uiPriority w:val="99"/>
    <w:unhideWhenUsed/>
    <w:rsid w:val="00C1311D"/>
    <w:pPr>
      <w:tabs>
        <w:tab w:val="center" w:pos="4680"/>
        <w:tab w:val="right" w:pos="9360"/>
      </w:tabs>
    </w:pPr>
  </w:style>
  <w:style w:type="character" w:customStyle="1" w:styleId="HeaderChar">
    <w:name w:val="Header Char"/>
    <w:basedOn w:val="DefaultParagraphFont"/>
    <w:link w:val="Header"/>
    <w:uiPriority w:val="99"/>
    <w:rsid w:val="00C1311D"/>
  </w:style>
  <w:style w:type="paragraph" w:styleId="Footer">
    <w:name w:val="footer"/>
    <w:basedOn w:val="Normal"/>
    <w:link w:val="FooterChar"/>
    <w:uiPriority w:val="99"/>
    <w:unhideWhenUsed/>
    <w:rsid w:val="00C1311D"/>
    <w:pPr>
      <w:tabs>
        <w:tab w:val="center" w:pos="4680"/>
        <w:tab w:val="right" w:pos="9360"/>
      </w:tabs>
    </w:pPr>
  </w:style>
  <w:style w:type="character" w:customStyle="1" w:styleId="FooterChar">
    <w:name w:val="Footer Char"/>
    <w:basedOn w:val="DefaultParagraphFont"/>
    <w:link w:val="Footer"/>
    <w:uiPriority w:val="99"/>
    <w:rsid w:val="00C1311D"/>
  </w:style>
  <w:style w:type="paragraph" w:styleId="ListParagraph">
    <w:name w:val="List Paragraph"/>
    <w:basedOn w:val="Normal"/>
    <w:uiPriority w:val="34"/>
    <w:qFormat/>
    <w:rsid w:val="00C1311D"/>
    <w:pPr>
      <w:ind w:left="720"/>
      <w:contextualSpacing/>
    </w:pPr>
  </w:style>
  <w:style w:type="paragraph" w:styleId="CommentSubject">
    <w:name w:val="annotation subject"/>
    <w:basedOn w:val="CommentText"/>
    <w:next w:val="CommentText"/>
    <w:link w:val="CommentSubjectChar"/>
    <w:uiPriority w:val="99"/>
    <w:semiHidden/>
    <w:unhideWhenUsed/>
    <w:rsid w:val="00574372"/>
    <w:rPr>
      <w:b/>
      <w:bCs/>
    </w:rPr>
  </w:style>
  <w:style w:type="character" w:customStyle="1" w:styleId="CommentSubjectChar">
    <w:name w:val="Comment Subject Char"/>
    <w:basedOn w:val="CommentTextChar"/>
    <w:link w:val="CommentSubject"/>
    <w:uiPriority w:val="99"/>
    <w:semiHidden/>
    <w:rsid w:val="00574372"/>
    <w:rPr>
      <w:b/>
      <w:bCs/>
      <w:sz w:val="20"/>
      <w:szCs w:val="20"/>
    </w:rPr>
  </w:style>
  <w:style w:type="paragraph" w:styleId="Revision">
    <w:name w:val="Revision"/>
    <w:hidden/>
    <w:uiPriority w:val="99"/>
    <w:semiHidden/>
    <w:rsid w:val="00511092"/>
  </w:style>
  <w:style w:type="paragraph" w:styleId="NormalWeb">
    <w:name w:val="Normal (Web)"/>
    <w:basedOn w:val="Normal"/>
    <w:uiPriority w:val="99"/>
    <w:semiHidden/>
    <w:unhideWhenUsed/>
    <w:rsid w:val="0040124C"/>
    <w:pPr>
      <w:spacing w:before="100" w:beforeAutospacing="1" w:after="100" w:afterAutospacing="1"/>
    </w:pPr>
  </w:style>
  <w:style w:type="character" w:styleId="Hyperlink">
    <w:name w:val="Hyperlink"/>
    <w:basedOn w:val="DefaultParagraphFont"/>
    <w:uiPriority w:val="99"/>
    <w:unhideWhenUsed/>
    <w:rsid w:val="0040124C"/>
    <w:rPr>
      <w:color w:val="0000FF"/>
      <w:u w:val="single"/>
    </w:rPr>
  </w:style>
  <w:style w:type="character" w:styleId="UnresolvedMention">
    <w:name w:val="Unresolved Mention"/>
    <w:basedOn w:val="DefaultParagraphFont"/>
    <w:uiPriority w:val="99"/>
    <w:semiHidden/>
    <w:unhideWhenUsed/>
    <w:rsid w:val="003C4F5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7912372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reproductiveaccess.org/resource/mifepristone-patient-agreement/" TargetMode="External"/><Relationship Id="rId13" Type="http://schemas.openxmlformats.org/officeDocument/2006/relationships/hyperlink" Target="https://www.reproductiveaccess.org/resource/early-pregnancy-loss-miscarriage-medical-management-consent/"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reproductiveaccess.org/resource/mifepristone-patient-agreement/" TargetMode="External"/><Relationship Id="rId17" Type="http://schemas.openxmlformats.org/officeDocument/2006/relationships/hyperlink" Target="https://cdn.who.int/media/docs/default-source/reproductive-health/abortion/summary-chart-medical-management-abortion.pdf?sfvrsn=c735d28a_4" TargetMode="External"/><Relationship Id="rId2" Type="http://schemas.openxmlformats.org/officeDocument/2006/relationships/numbering" Target="numbering.xml"/><Relationship Id="rId16" Type="http://schemas.openxmlformats.org/officeDocument/2006/relationships/hyperlink" Target="https://www.uptodate.com/contents/pregnancy-loss-miscarriage-clinical-presentations-diagnosis-and-initial-evaluation"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reproductiveaccess.org/resource/mifepristone-patient-agreement/" TargetMode="External"/><Relationship Id="rId5" Type="http://schemas.openxmlformats.org/officeDocument/2006/relationships/webSettings" Target="webSettings.xml"/><Relationship Id="rId15" Type="http://schemas.openxmlformats.org/officeDocument/2006/relationships/hyperlink" Target="https://www.reproductiveaccess.org/resource/miscarriage-treatment-medication/" TargetMode="External"/><Relationship Id="rId10" Type="http://schemas.openxmlformats.org/officeDocument/2006/relationships/hyperlink" Target="https://www.reproductiveaccess.org/resource/mifepristone-patient-agreement/"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reproductiveaccess.org/resource/mifepristone-patient-agreement/" TargetMode="External"/><Relationship Id="rId14" Type="http://schemas.openxmlformats.org/officeDocument/2006/relationships/hyperlink" Target="https://drive.google.com/a/challiance.org/open?id=1Y5bofEApAhnwa2e11nxu7h62Px41bSJSoIeaqDqHhII"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Dr5RPiUCFP2kCaZ/IC7Yi97wjBQ==">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991</Words>
  <Characters>5649</Characters>
  <Application>Microsoft Office Word</Application>
  <DocSecurity>0</DocSecurity>
  <Lines>47</Lines>
  <Paragraphs>13</Paragraphs>
  <ScaleCrop>false</ScaleCrop>
  <Company/>
  <LinksUpToDate>false</LinksUpToDate>
  <CharactersWithSpaces>6627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brandy@reproductiveaccess.org</cp:lastModifiedBy>
  <cp:revision>4</cp:revision>
  <dcterms:created xsi:type="dcterms:W3CDTF">2023-11-01T18:27:00Z</dcterms:created>
  <dcterms:modified xsi:type="dcterms:W3CDTF">2023-11-01T18:54:00Z</dcterms:modified>
</cp:coreProperties>
</file>