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A0DD2" w:rsidRDefault="00000000">
      <w:pPr>
        <w:pStyle w:val="Title"/>
        <w:ind w:left="1" w:hanging="3"/>
        <w:rPr>
          <w:rFonts w:ascii="Avenir" w:eastAsia="Avenir" w:hAnsi="Avenir" w:cs="Avenir"/>
          <w:sz w:val="28"/>
          <w:szCs w:val="28"/>
        </w:rPr>
      </w:pPr>
      <w:r>
        <w:rPr>
          <w:rFonts w:ascii="Avenir" w:eastAsia="Avenir" w:hAnsi="Avenir" w:cs="Avenir"/>
          <w:sz w:val="28"/>
          <w:szCs w:val="28"/>
        </w:rPr>
        <w:t>Protocol for Medication Management of Early Pregnancy Loss:</w:t>
      </w:r>
    </w:p>
    <w:p w14:paraId="00000002" w14:textId="77777777" w:rsidR="00FA0DD2" w:rsidRDefault="00000000">
      <w:pPr>
        <w:ind w:left="0" w:hanging="2"/>
        <w:jc w:val="center"/>
        <w:rPr>
          <w:rFonts w:ascii="Avenir" w:eastAsia="Avenir" w:hAnsi="Avenir" w:cs="Avenir"/>
        </w:rPr>
      </w:pPr>
      <w:r>
        <w:rPr>
          <w:rFonts w:ascii="Avenir" w:eastAsia="Avenir" w:hAnsi="Avenir" w:cs="Avenir"/>
        </w:rPr>
        <w:t>Misoprostol Only</w:t>
      </w:r>
    </w:p>
    <w:p w14:paraId="0EAFBAB2" w14:textId="77777777" w:rsidR="00A0529C" w:rsidRPr="00A0529C" w:rsidRDefault="00A0529C">
      <w:pPr>
        <w:pStyle w:val="Heading1"/>
        <w:ind w:left="0" w:hanging="2"/>
        <w:rPr>
          <w:rFonts w:ascii="Avenir" w:eastAsia="Avenir" w:hAnsi="Avenir" w:cs="Avenir"/>
          <w:sz w:val="22"/>
          <w:szCs w:val="22"/>
        </w:rPr>
      </w:pPr>
    </w:p>
    <w:p w14:paraId="00000005" w14:textId="6FB505E3" w:rsidR="00FA0DD2" w:rsidRDefault="00000000">
      <w:pPr>
        <w:pStyle w:val="Heading1"/>
        <w:ind w:left="0" w:hanging="2"/>
        <w:rPr>
          <w:rFonts w:ascii="Avenir" w:eastAsia="Avenir" w:hAnsi="Avenir" w:cs="Avenir"/>
        </w:rPr>
      </w:pPr>
      <w:r>
        <w:rPr>
          <w:rFonts w:ascii="Avenir" w:eastAsia="Avenir" w:hAnsi="Avenir" w:cs="Avenir"/>
        </w:rPr>
        <w:t>Eligibility</w:t>
      </w:r>
    </w:p>
    <w:p w14:paraId="00000006" w14:textId="77777777" w:rsidR="00FA0DD2" w:rsidRPr="00A0529C" w:rsidRDefault="00FA0DD2">
      <w:pPr>
        <w:ind w:left="0" w:hanging="2"/>
        <w:rPr>
          <w:rFonts w:ascii="Avenir Book" w:hAnsi="Avenir Book"/>
          <w:sz w:val="22"/>
          <w:szCs w:val="22"/>
        </w:rPr>
      </w:pPr>
    </w:p>
    <w:p w14:paraId="00000007" w14:textId="53C188FB" w:rsidR="00FA0DD2" w:rsidRPr="00A0529C" w:rsidRDefault="00000000">
      <w:pPr>
        <w:ind w:left="0" w:hanging="2"/>
        <w:rPr>
          <w:rFonts w:ascii="Avenir" w:eastAsia="Avenir" w:hAnsi="Avenir" w:cs="Avenir"/>
          <w:sz w:val="22"/>
          <w:szCs w:val="22"/>
        </w:rPr>
      </w:pPr>
      <w:r w:rsidRPr="00A0529C">
        <w:rPr>
          <w:rFonts w:ascii="Avenir" w:eastAsia="Avenir" w:hAnsi="Avenir" w:cs="Avenir"/>
          <w:sz w:val="22"/>
          <w:szCs w:val="22"/>
        </w:rPr>
        <w:t>Patients with a nonviable pregnancy up to 12 weeks gestational age are eligible for medica</w:t>
      </w:r>
      <w:sdt>
        <w:sdtPr>
          <w:rPr>
            <w:sz w:val="22"/>
            <w:szCs w:val="22"/>
          </w:rPr>
          <w:tag w:val="goog_rdk_0"/>
          <w:id w:val="-903612150"/>
        </w:sdtPr>
        <w:sdtContent>
          <w:r w:rsidRPr="00A0529C">
            <w:rPr>
              <w:rFonts w:ascii="Avenir" w:eastAsia="Avenir" w:hAnsi="Avenir" w:cs="Avenir"/>
              <w:sz w:val="22"/>
              <w:szCs w:val="22"/>
            </w:rPr>
            <w:t>tion</w:t>
          </w:r>
        </w:sdtContent>
      </w:sdt>
      <w:r w:rsidRPr="00A0529C">
        <w:rPr>
          <w:rFonts w:ascii="Avenir" w:eastAsia="Avenir" w:hAnsi="Avenir" w:cs="Avenir"/>
          <w:sz w:val="22"/>
          <w:szCs w:val="22"/>
        </w:rPr>
        <w:t xml:space="preserve"> management. </w:t>
      </w:r>
    </w:p>
    <w:p w14:paraId="00000008" w14:textId="77777777" w:rsidR="00FA0DD2" w:rsidRPr="00A0529C" w:rsidRDefault="00FA0DD2">
      <w:pPr>
        <w:ind w:left="0" w:hanging="2"/>
        <w:rPr>
          <w:rFonts w:ascii="Avenir" w:eastAsia="Avenir" w:hAnsi="Avenir" w:cs="Avenir"/>
          <w:sz w:val="22"/>
          <w:szCs w:val="22"/>
        </w:rPr>
      </w:pPr>
    </w:p>
    <w:p w14:paraId="00000009" w14:textId="62819319" w:rsidR="00FA0DD2" w:rsidRPr="00A0529C" w:rsidRDefault="00000000">
      <w:pPr>
        <w:ind w:left="0" w:hanging="2"/>
        <w:rPr>
          <w:rFonts w:ascii="Avenir" w:eastAsia="Avenir" w:hAnsi="Avenir" w:cs="Avenir"/>
          <w:sz w:val="22"/>
          <w:szCs w:val="22"/>
        </w:rPr>
      </w:pPr>
      <w:r w:rsidRPr="00A0529C">
        <w:rPr>
          <w:rFonts w:ascii="Avenir" w:eastAsia="Avenir" w:hAnsi="Avenir" w:cs="Avenir"/>
          <w:sz w:val="22"/>
          <w:szCs w:val="22"/>
        </w:rPr>
        <w:t xml:space="preserve">Non-viable pregnancy is diagnosed by ultrasound </w:t>
      </w:r>
      <w:sdt>
        <w:sdtPr>
          <w:rPr>
            <w:sz w:val="22"/>
            <w:szCs w:val="22"/>
          </w:rPr>
          <w:tag w:val="goog_rdk_2"/>
          <w:id w:val="-948241953"/>
        </w:sdtPr>
        <w:sdtContent>
          <w:r w:rsidRPr="00A0529C">
            <w:rPr>
              <w:rFonts w:ascii="Avenir" w:eastAsia="Avenir" w:hAnsi="Avenir" w:cs="Avenir"/>
              <w:sz w:val="22"/>
              <w:szCs w:val="22"/>
            </w:rPr>
            <w:t xml:space="preserve">criteria </w:t>
          </w:r>
        </w:sdtContent>
      </w:sdt>
      <w:r w:rsidRPr="00A0529C">
        <w:rPr>
          <w:rFonts w:ascii="Avenir" w:eastAsia="Avenir" w:hAnsi="Avenir" w:cs="Avenir"/>
          <w:sz w:val="22"/>
          <w:szCs w:val="22"/>
        </w:rPr>
        <w:t xml:space="preserve">and/or falling quantitative hCG levels. Gestational age is based on ultrasound findings rather than last menstrual period (LMP). Ectopic pregnancy must be excluded, </w:t>
      </w:r>
      <w:sdt>
        <w:sdtPr>
          <w:rPr>
            <w:sz w:val="22"/>
            <w:szCs w:val="22"/>
          </w:rPr>
          <w:tag w:val="goog_rdk_3"/>
          <w:id w:val="1402408661"/>
        </w:sdtPr>
        <w:sdtContent>
          <w:r w:rsidRPr="00A0529C">
            <w:rPr>
              <w:rFonts w:ascii="Avenir" w:eastAsia="Avenir" w:hAnsi="Avenir" w:cs="Avenir"/>
              <w:sz w:val="22"/>
              <w:szCs w:val="22"/>
            </w:rPr>
            <w:t>or patient may be managed as a pregnancy of unknown location</w:t>
          </w:r>
        </w:sdtContent>
      </w:sdt>
      <w:r w:rsidRPr="00A0529C">
        <w:rPr>
          <w:rFonts w:ascii="Avenir" w:eastAsia="Avenir" w:hAnsi="Avenir" w:cs="Avenir"/>
          <w:sz w:val="22"/>
          <w:szCs w:val="22"/>
        </w:rPr>
        <w:t>.</w:t>
      </w:r>
    </w:p>
    <w:p w14:paraId="0000000A" w14:textId="77777777" w:rsidR="00FA0DD2" w:rsidRPr="00A0529C" w:rsidRDefault="00FA0DD2">
      <w:pPr>
        <w:ind w:left="0" w:hanging="2"/>
        <w:rPr>
          <w:rFonts w:ascii="Avenir" w:eastAsia="Avenir" w:hAnsi="Avenir" w:cs="Avenir"/>
          <w:sz w:val="22"/>
          <w:szCs w:val="22"/>
        </w:rPr>
      </w:pPr>
    </w:p>
    <w:p w14:paraId="0000000B" w14:textId="3B83B365" w:rsidR="00FA0DD2" w:rsidRPr="00A0529C" w:rsidRDefault="00000000">
      <w:pPr>
        <w:ind w:left="0" w:hanging="2"/>
        <w:rPr>
          <w:rFonts w:ascii="Avenir" w:eastAsia="Avenir" w:hAnsi="Avenir" w:cs="Avenir"/>
          <w:sz w:val="22"/>
          <w:szCs w:val="22"/>
        </w:rPr>
      </w:pPr>
      <w:sdt>
        <w:sdtPr>
          <w:rPr>
            <w:sz w:val="22"/>
            <w:szCs w:val="22"/>
          </w:rPr>
          <w:tag w:val="goog_rdk_6"/>
          <w:id w:val="-1696060962"/>
        </w:sdtPr>
        <w:sdtContent>
          <w:r w:rsidRPr="00A0529C">
            <w:rPr>
              <w:rFonts w:ascii="Avenir" w:eastAsia="Avenir" w:hAnsi="Avenir" w:cs="Avenir"/>
              <w:sz w:val="22"/>
              <w:szCs w:val="22"/>
            </w:rPr>
            <w:t xml:space="preserve">Contraindications to medication management </w:t>
          </w:r>
        </w:sdtContent>
      </w:sdt>
      <w:r w:rsidRPr="00A0529C">
        <w:rPr>
          <w:rFonts w:ascii="Avenir" w:eastAsia="Avenir" w:hAnsi="Avenir" w:cs="Avenir"/>
          <w:sz w:val="22"/>
          <w:szCs w:val="22"/>
        </w:rPr>
        <w:t xml:space="preserve">include </w:t>
      </w:r>
      <w:sdt>
        <w:sdtPr>
          <w:rPr>
            <w:sz w:val="22"/>
            <w:szCs w:val="22"/>
          </w:rPr>
          <w:tag w:val="goog_rdk_9"/>
          <w:id w:val="-1999022027"/>
        </w:sdtPr>
        <w:sdtContent>
          <w:r w:rsidRPr="00A0529C">
            <w:rPr>
              <w:rFonts w:ascii="Avenir" w:eastAsia="Avenir" w:hAnsi="Avenir" w:cs="Avenir"/>
              <w:sz w:val="22"/>
              <w:szCs w:val="22"/>
            </w:rPr>
            <w:t xml:space="preserve">hemodynamic instability, </w:t>
          </w:r>
        </w:sdtContent>
      </w:sdt>
      <w:r w:rsidRPr="00A0529C">
        <w:rPr>
          <w:rFonts w:ascii="Avenir" w:eastAsia="Avenir" w:hAnsi="Avenir" w:cs="Avenir"/>
          <w:sz w:val="22"/>
          <w:szCs w:val="22"/>
        </w:rPr>
        <w:t>severe anemia</w:t>
      </w:r>
      <w:sdt>
        <w:sdtPr>
          <w:rPr>
            <w:sz w:val="22"/>
            <w:szCs w:val="22"/>
          </w:rPr>
          <w:tag w:val="goog_rdk_10"/>
          <w:id w:val="1119414708"/>
        </w:sdtPr>
        <w:sdtContent>
          <w:r w:rsidRPr="00A0529C">
            <w:rPr>
              <w:rFonts w:ascii="Avenir" w:eastAsia="Avenir" w:hAnsi="Avenir" w:cs="Avenir"/>
              <w:sz w:val="22"/>
              <w:szCs w:val="22"/>
            </w:rPr>
            <w:t xml:space="preserve"> or bleeding disorders</w:t>
          </w:r>
        </w:sdtContent>
      </w:sdt>
      <w:r w:rsidRPr="00A0529C">
        <w:rPr>
          <w:rFonts w:ascii="Avenir" w:eastAsia="Avenir" w:hAnsi="Avenir" w:cs="Avenir"/>
          <w:sz w:val="22"/>
          <w:szCs w:val="22"/>
        </w:rPr>
        <w:t xml:space="preserve">, </w:t>
      </w:r>
      <w:sdt>
        <w:sdtPr>
          <w:rPr>
            <w:sz w:val="22"/>
            <w:szCs w:val="22"/>
          </w:rPr>
          <w:tag w:val="goog_rdk_11"/>
          <w:id w:val="426085500"/>
        </w:sdtPr>
        <w:sdtContent>
          <w:r w:rsidRPr="00A0529C">
            <w:rPr>
              <w:rFonts w:ascii="Avenir" w:eastAsia="Avenir" w:hAnsi="Avenir" w:cs="Avenir"/>
              <w:sz w:val="22"/>
              <w:szCs w:val="22"/>
            </w:rPr>
            <w:t>inherited porphyrias</w:t>
          </w:r>
        </w:sdtContent>
      </w:sdt>
      <w:sdt>
        <w:sdtPr>
          <w:rPr>
            <w:sz w:val="22"/>
            <w:szCs w:val="22"/>
          </w:rPr>
          <w:tag w:val="goog_rdk_12"/>
          <w:id w:val="-677582982"/>
        </w:sdtPr>
        <w:sdtContent>
          <w:r w:rsidRPr="00A0529C">
            <w:rPr>
              <w:rFonts w:ascii="Avenir" w:eastAsia="Avenir" w:hAnsi="Avenir" w:cs="Avenir"/>
              <w:sz w:val="22"/>
              <w:szCs w:val="22"/>
            </w:rPr>
            <w:t>,</w:t>
          </w:r>
        </w:sdtContent>
      </w:sdt>
      <w:sdt>
        <w:sdtPr>
          <w:rPr>
            <w:sz w:val="22"/>
            <w:szCs w:val="22"/>
          </w:rPr>
          <w:tag w:val="goog_rdk_13"/>
          <w:id w:val="-1328278879"/>
        </w:sdtPr>
        <w:sdtContent>
          <w:r w:rsidRPr="00A0529C">
            <w:rPr>
              <w:rFonts w:ascii="Avenir" w:eastAsia="Avenir" w:hAnsi="Avenir" w:cs="Avenir"/>
              <w:sz w:val="22"/>
              <w:szCs w:val="22"/>
            </w:rPr>
            <w:t xml:space="preserve"> or </w:t>
          </w:r>
        </w:sdtContent>
      </w:sdt>
      <w:r w:rsidRPr="00A0529C">
        <w:rPr>
          <w:rFonts w:ascii="Avenir" w:eastAsia="Avenir" w:hAnsi="Avenir" w:cs="Avenir"/>
          <w:sz w:val="22"/>
          <w:szCs w:val="22"/>
        </w:rPr>
        <w:t>allergy to misoprostol.</w:t>
      </w:r>
    </w:p>
    <w:p w14:paraId="0000000C" w14:textId="77777777" w:rsidR="00FA0DD2" w:rsidRPr="00A0529C" w:rsidRDefault="00FA0DD2">
      <w:pPr>
        <w:ind w:left="0" w:hanging="2"/>
        <w:rPr>
          <w:rFonts w:ascii="Avenir" w:eastAsia="Avenir" w:hAnsi="Avenir" w:cs="Avenir"/>
          <w:sz w:val="22"/>
          <w:szCs w:val="22"/>
        </w:rPr>
      </w:pPr>
    </w:p>
    <w:p w14:paraId="0000000D" w14:textId="77777777" w:rsidR="00FA0DD2" w:rsidRDefault="00000000">
      <w:pPr>
        <w:ind w:left="0" w:hanging="2"/>
        <w:rPr>
          <w:rFonts w:ascii="Avenir" w:eastAsia="Avenir" w:hAnsi="Avenir" w:cs="Avenir"/>
          <w:sz w:val="22"/>
          <w:szCs w:val="22"/>
        </w:rPr>
      </w:pPr>
      <w:r>
        <w:rPr>
          <w:rFonts w:ascii="Avenir" w:eastAsia="Avenir" w:hAnsi="Avenir" w:cs="Avenir"/>
          <w:b/>
          <w:sz w:val="22"/>
          <w:szCs w:val="22"/>
        </w:rPr>
        <w:t>Procedure</w:t>
      </w:r>
    </w:p>
    <w:p w14:paraId="0000000E" w14:textId="77777777" w:rsidR="00FA0DD2" w:rsidRDefault="00FA0DD2">
      <w:pPr>
        <w:ind w:left="0" w:hanging="2"/>
        <w:rPr>
          <w:rFonts w:ascii="Avenir" w:eastAsia="Avenir" w:hAnsi="Avenir" w:cs="Avenir"/>
          <w:sz w:val="22"/>
          <w:szCs w:val="22"/>
        </w:rPr>
      </w:pPr>
    </w:p>
    <w:p w14:paraId="4DBBEDA0" w14:textId="77777777" w:rsid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Labs:</w:t>
      </w:r>
      <w:r w:rsidRPr="00A0529C">
        <w:rPr>
          <w:rFonts w:ascii="Avenir" w:eastAsia="Avenir" w:hAnsi="Avenir" w:cs="Avenir"/>
          <w:sz w:val="22"/>
          <w:szCs w:val="22"/>
        </w:rPr>
        <w:t xml:space="preserve"> </w:t>
      </w:r>
      <w:sdt>
        <w:sdtPr>
          <w:tag w:val="goog_rdk_16"/>
          <w:id w:val="-2109879340"/>
        </w:sdtPr>
        <w:sdtContent>
          <w:r w:rsidRPr="00A0529C">
            <w:rPr>
              <w:rFonts w:ascii="Avenir" w:eastAsia="Avenir" w:hAnsi="Avenir" w:cs="Avenir"/>
              <w:sz w:val="22"/>
              <w:szCs w:val="22"/>
            </w:rPr>
            <w:t>Possible</w:t>
          </w:r>
        </w:sdtContent>
      </w:sdt>
      <w:sdt>
        <w:sdtPr>
          <w:tag w:val="goog_rdk_17"/>
          <w:id w:val="1268664355"/>
        </w:sdtPr>
        <w:sdtContent>
          <w:sdt>
            <w:sdtPr>
              <w:tag w:val="goog_rdk_18"/>
              <w:id w:val="-655752087"/>
            </w:sdtPr>
            <w:sdtContent/>
          </w:sdt>
        </w:sdtContent>
      </w:sdt>
      <w:r w:rsidRPr="00A0529C">
        <w:rPr>
          <w:rFonts w:ascii="Avenir" w:eastAsia="Avenir" w:hAnsi="Avenir" w:cs="Avenir"/>
          <w:sz w:val="22"/>
          <w:szCs w:val="22"/>
        </w:rPr>
        <w:t xml:space="preserve"> labs include Rh screen, hematocrit, and quantitative serum hCG level. </w:t>
      </w:r>
      <w:sdt>
        <w:sdtPr>
          <w:tag w:val="goog_rdk_20"/>
          <w:id w:val="345290026"/>
        </w:sdtPr>
        <w:sdtContent>
          <w:r w:rsidRPr="00A0529C">
            <w:rPr>
              <w:rFonts w:ascii="Avenir" w:eastAsia="Avenir" w:hAnsi="Avenir" w:cs="Avenir"/>
              <w:sz w:val="22"/>
              <w:szCs w:val="22"/>
            </w:rPr>
            <w:t xml:space="preserve">Testing for Rh status can be considered if the patient’s status is unknown, however the evidence supporting this practice is minimal. Based on current practice guidelines, it is reasonable to forgo this testing up to 12 weeks, however institutional policies may vary. </w:t>
          </w:r>
          <w:r w:rsidR="00140B94" w:rsidRPr="00A0529C">
            <w:rPr>
              <w:rFonts w:ascii="Avenir" w:hAnsi="Avenir"/>
              <w:color w:val="000000"/>
              <w:sz w:val="22"/>
              <w:szCs w:val="22"/>
            </w:rPr>
            <w:t>A baseline hemoglobin or hematocrit level can be obtained, especially if there is a history of anemia</w:t>
          </w:r>
          <w:r w:rsidR="007610AF" w:rsidRPr="00A0529C">
            <w:rPr>
              <w:rFonts w:ascii="Avenir" w:hAnsi="Avenir"/>
              <w:color w:val="000000"/>
              <w:sz w:val="22"/>
              <w:szCs w:val="22"/>
            </w:rPr>
            <w:t>, but it is not required</w:t>
          </w:r>
          <w:r w:rsidR="00140B94" w:rsidRPr="00A0529C">
            <w:rPr>
              <w:rFonts w:ascii="Avenir" w:hAnsi="Avenir"/>
              <w:color w:val="000000"/>
              <w:sz w:val="22"/>
              <w:szCs w:val="22"/>
            </w:rPr>
            <w:t xml:space="preserve">. </w:t>
          </w:r>
        </w:sdtContent>
      </w:sdt>
      <w:r w:rsidRPr="00A0529C">
        <w:rPr>
          <w:rFonts w:ascii="Avenir" w:eastAsia="Avenir" w:hAnsi="Avenir" w:cs="Avenir"/>
          <w:sz w:val="22"/>
          <w:szCs w:val="22"/>
        </w:rPr>
        <w:t xml:space="preserve">Serum hCG level may be deferred in patients who can follow-up with ultrasound, if the initial diagnosis was made by ultrasound. </w:t>
      </w:r>
    </w:p>
    <w:p w14:paraId="63DCE7E5" w14:textId="77777777" w:rsidR="00A0529C" w:rsidRDefault="00A0529C" w:rsidP="00A0529C">
      <w:pPr>
        <w:pStyle w:val="ListParagraph"/>
        <w:ind w:leftChars="0" w:firstLineChars="0" w:firstLine="0"/>
        <w:rPr>
          <w:rFonts w:ascii="Avenir" w:eastAsia="Avenir" w:hAnsi="Avenir" w:cs="Avenir"/>
          <w:sz w:val="22"/>
          <w:szCs w:val="22"/>
        </w:rPr>
      </w:pPr>
    </w:p>
    <w:p w14:paraId="61939196" w14:textId="77777777" w:rsid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Counseling:</w:t>
      </w:r>
      <w:r w:rsidRPr="00A0529C">
        <w:rPr>
          <w:rFonts w:ascii="Avenir" w:eastAsia="Avenir" w:hAnsi="Avenir" w:cs="Avenir"/>
          <w:sz w:val="22"/>
          <w:szCs w:val="22"/>
        </w:rPr>
        <w:t xml:space="preserve"> Clinically stable patients should be counseled on all options for managing early pregnancy loss including expectant, medical management, and uterine aspiration. Patients who choose medical management with misoprostol alone should understand that mifepristone/misoprostol is more effective for treatment of nonviable intrauterine pregnancy</w:t>
      </w:r>
      <w:r w:rsidR="007610AF" w:rsidRPr="00A0529C">
        <w:rPr>
          <w:rFonts w:ascii="Avenir" w:eastAsia="Avenir" w:hAnsi="Avenir" w:cs="Avenir"/>
          <w:sz w:val="22"/>
          <w:szCs w:val="22"/>
        </w:rPr>
        <w:t xml:space="preserve"> and should be offered a referral</w:t>
      </w:r>
      <w:r w:rsidRPr="00A0529C">
        <w:rPr>
          <w:rFonts w:ascii="Avenir" w:eastAsia="Avenir" w:hAnsi="Avenir" w:cs="Avenir"/>
          <w:sz w:val="22"/>
          <w:szCs w:val="22"/>
        </w:rPr>
        <w:t>.</w:t>
      </w:r>
    </w:p>
    <w:p w14:paraId="7545152F" w14:textId="77777777" w:rsidR="00A0529C" w:rsidRPr="00A0529C" w:rsidRDefault="00A0529C" w:rsidP="00A0529C">
      <w:pPr>
        <w:pStyle w:val="ListParagraph"/>
        <w:ind w:left="0" w:hanging="2"/>
        <w:rPr>
          <w:rFonts w:ascii="Avenir" w:eastAsia="Avenir" w:hAnsi="Avenir" w:cs="Avenir"/>
          <w:b/>
          <w:sz w:val="22"/>
          <w:szCs w:val="22"/>
        </w:rPr>
      </w:pPr>
    </w:p>
    <w:p w14:paraId="00000013" w14:textId="16B2B9EE" w:rsidR="00FA0DD2" w:rsidRP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Misoprostol:</w:t>
      </w:r>
      <w:r w:rsidRPr="00A0529C">
        <w:rPr>
          <w:rFonts w:ascii="Avenir" w:eastAsia="Avenir" w:hAnsi="Avenir" w:cs="Avenir"/>
          <w:sz w:val="22"/>
          <w:szCs w:val="22"/>
        </w:rPr>
        <w:t xml:space="preserve"> Prescribe or dispense four tablets of 200 mcg misoprostol (800 mcg total) for the patient to use vaginally</w:t>
      </w:r>
      <w:sdt>
        <w:sdtPr>
          <w:tag w:val="goog_rdk_26"/>
          <w:id w:val="1598750508"/>
        </w:sdtPr>
        <w:sdtContent>
          <w:r w:rsidRPr="00A0529C">
            <w:rPr>
              <w:rFonts w:ascii="Avenir" w:eastAsia="Avenir" w:hAnsi="Avenir" w:cs="Avenir"/>
              <w:sz w:val="22"/>
              <w:szCs w:val="22"/>
            </w:rPr>
            <w:t xml:space="preserve"> or buccally</w:t>
          </w:r>
        </w:sdtContent>
      </w:sdt>
      <w:r w:rsidRPr="00A0529C">
        <w:rPr>
          <w:rFonts w:ascii="Avenir" w:eastAsia="Avenir" w:hAnsi="Avenir" w:cs="Avenir"/>
          <w:sz w:val="22"/>
          <w:szCs w:val="22"/>
        </w:rPr>
        <w:t xml:space="preserve">. The patient places 800 mcg of misoprostol in the vagina </w:t>
      </w:r>
      <w:sdt>
        <w:sdtPr>
          <w:tag w:val="goog_rdk_27"/>
          <w:id w:val="-1157607341"/>
        </w:sdtPr>
        <w:sdtContent>
          <w:r w:rsidRPr="00A0529C">
            <w:rPr>
              <w:rFonts w:ascii="Avenir" w:eastAsia="Avenir" w:hAnsi="Avenir" w:cs="Avenir"/>
              <w:sz w:val="22"/>
              <w:szCs w:val="22"/>
            </w:rPr>
            <w:t xml:space="preserve">or buccally </w:t>
          </w:r>
        </w:sdtContent>
      </w:sdt>
      <w:r w:rsidRPr="00A0529C">
        <w:rPr>
          <w:rFonts w:ascii="Avenir" w:eastAsia="Avenir" w:hAnsi="Avenir" w:cs="Avenir"/>
          <w:sz w:val="22"/>
          <w:szCs w:val="22"/>
        </w:rPr>
        <w:t>at a convenient time</w:t>
      </w:r>
      <w:r w:rsidR="00E604C6" w:rsidRPr="00A0529C">
        <w:rPr>
          <w:rFonts w:ascii="Avenir" w:eastAsia="Avenir" w:hAnsi="Avenir" w:cs="Avenir"/>
          <w:sz w:val="22"/>
          <w:szCs w:val="22"/>
        </w:rPr>
        <w:t xml:space="preserve"> and place</w:t>
      </w:r>
      <w:r w:rsidRPr="00A0529C">
        <w:rPr>
          <w:rFonts w:ascii="Avenir" w:eastAsia="Avenir" w:hAnsi="Avenir" w:cs="Avenir"/>
          <w:sz w:val="22"/>
          <w:szCs w:val="22"/>
        </w:rPr>
        <w:t xml:space="preserve">. </w:t>
      </w:r>
      <w:r w:rsidR="00E604C6" w:rsidRPr="00A0529C">
        <w:rPr>
          <w:rFonts w:ascii="Avenir" w:hAnsi="Avenir"/>
          <w:color w:val="000000"/>
          <w:sz w:val="22"/>
          <w:szCs w:val="22"/>
        </w:rPr>
        <w:t xml:space="preserve">The patient should be instructed to lie down for 30 minutes following vaginal insertion of misoprostol. </w:t>
      </w:r>
      <w:r w:rsidRPr="00A0529C">
        <w:rPr>
          <w:rFonts w:ascii="Avenir" w:eastAsia="Avenir" w:hAnsi="Avenir" w:cs="Avenir"/>
          <w:sz w:val="22"/>
          <w:szCs w:val="22"/>
        </w:rPr>
        <w:t xml:space="preserve">The patient should be given a second dose of 800 mcg of misoprostol in case passage of tissue does not occur with the first dose. </w:t>
      </w:r>
    </w:p>
    <w:p w14:paraId="00000014" w14:textId="77777777" w:rsidR="00FA0DD2" w:rsidRDefault="00FA0DD2">
      <w:pPr>
        <w:ind w:left="0" w:hanging="2"/>
        <w:rPr>
          <w:rFonts w:ascii="Avenir" w:eastAsia="Avenir" w:hAnsi="Avenir" w:cs="Avenir"/>
          <w:sz w:val="22"/>
          <w:szCs w:val="22"/>
        </w:rPr>
      </w:pPr>
    </w:p>
    <w:p w14:paraId="00000015" w14:textId="04597865" w:rsidR="00FA0DD2" w:rsidRPr="00A0529C" w:rsidRDefault="00000000" w:rsidP="00A0529C">
      <w:pPr>
        <w:pStyle w:val="ListParagraph"/>
        <w:numPr>
          <w:ilvl w:val="0"/>
          <w:numId w:val="2"/>
        </w:numPr>
        <w:ind w:leftChars="0" w:firstLineChars="0"/>
        <w:rPr>
          <w:rFonts w:ascii="Avenir" w:eastAsia="Avenir" w:hAnsi="Avenir" w:cs="Avenir"/>
          <w:sz w:val="22"/>
          <w:szCs w:val="22"/>
        </w:rPr>
      </w:pPr>
      <w:sdt>
        <w:sdtPr>
          <w:tag w:val="goog_rdk_29"/>
          <w:id w:val="-916624088"/>
        </w:sdtPr>
        <w:sdtContent>
          <w:r w:rsidRPr="00A0529C">
            <w:rPr>
              <w:rFonts w:ascii="Avenir" w:eastAsia="Avenir" w:hAnsi="Avenir" w:cs="Avenir"/>
              <w:b/>
              <w:bCs/>
              <w:sz w:val="22"/>
              <w:szCs w:val="22"/>
            </w:rPr>
            <w:t>Supportive</w:t>
          </w:r>
        </w:sdtContent>
      </w:sdt>
      <w:r w:rsidRPr="00A0529C">
        <w:rPr>
          <w:rFonts w:ascii="Avenir" w:eastAsia="Avenir" w:hAnsi="Avenir" w:cs="Avenir"/>
          <w:b/>
          <w:sz w:val="22"/>
          <w:szCs w:val="22"/>
        </w:rPr>
        <w:t xml:space="preserve"> </w:t>
      </w:r>
      <w:sdt>
        <w:sdtPr>
          <w:tag w:val="goog_rdk_31"/>
          <w:id w:val="-1220285705"/>
        </w:sdtPr>
        <w:sdtContent/>
      </w:sdt>
      <w:r w:rsidRPr="00A0529C">
        <w:rPr>
          <w:rFonts w:ascii="Avenir" w:eastAsia="Avenir" w:hAnsi="Avenir" w:cs="Avenir"/>
          <w:b/>
          <w:sz w:val="22"/>
          <w:szCs w:val="22"/>
        </w:rPr>
        <w:t>medications:</w:t>
      </w:r>
      <w:r w:rsidRPr="00A0529C">
        <w:rPr>
          <w:rFonts w:ascii="Avenir" w:eastAsia="Avenir" w:hAnsi="Avenir" w:cs="Avenir"/>
          <w:sz w:val="22"/>
          <w:szCs w:val="22"/>
        </w:rPr>
        <w:t xml:space="preserve"> A prescription for </w:t>
      </w:r>
      <w:sdt>
        <w:sdtPr>
          <w:tag w:val="goog_rdk_32"/>
          <w:id w:val="549110910"/>
        </w:sdtPr>
        <w:sdtContent>
          <w:r w:rsidRPr="00A0529C">
            <w:rPr>
              <w:rFonts w:ascii="Avenir" w:eastAsia="Avenir" w:hAnsi="Avenir" w:cs="Avenir"/>
              <w:sz w:val="22"/>
              <w:szCs w:val="22"/>
            </w:rPr>
            <w:t>a non-steroidal anti-inflammatory medication</w:t>
          </w:r>
        </w:sdtContent>
      </w:sdt>
      <w:sdt>
        <w:sdtPr>
          <w:tag w:val="goog_rdk_33"/>
          <w:id w:val="1960452192"/>
        </w:sdtPr>
        <w:sdtContent>
          <w:r w:rsidRPr="00A0529C">
            <w:rPr>
              <w:rFonts w:ascii="Avenir" w:eastAsia="Avenir" w:hAnsi="Avenir" w:cs="Avenir"/>
              <w:sz w:val="22"/>
              <w:szCs w:val="22"/>
            </w:rPr>
            <w:t>,</w:t>
          </w:r>
        </w:sdtContent>
      </w:sdt>
      <w:sdt>
        <w:sdtPr>
          <w:tag w:val="goog_rdk_34"/>
          <w:id w:val="1159723267"/>
        </w:sdtPr>
        <w:sdtContent>
          <w:r w:rsidRPr="00A0529C">
            <w:rPr>
              <w:rFonts w:ascii="Avenir" w:eastAsia="Avenir" w:hAnsi="Avenir" w:cs="Avenir"/>
              <w:sz w:val="22"/>
              <w:szCs w:val="22"/>
            </w:rPr>
            <w:t xml:space="preserve"> such as </w:t>
          </w:r>
        </w:sdtContent>
      </w:sdt>
      <w:r w:rsidRPr="00A0529C">
        <w:rPr>
          <w:rFonts w:ascii="Avenir" w:eastAsia="Avenir" w:hAnsi="Avenir" w:cs="Avenir"/>
          <w:sz w:val="22"/>
          <w:szCs w:val="22"/>
        </w:rPr>
        <w:t>ibuprofen</w:t>
      </w:r>
      <w:sdt>
        <w:sdtPr>
          <w:tag w:val="goog_rdk_35"/>
          <w:id w:val="1174064578"/>
        </w:sdtPr>
        <w:sdtContent>
          <w:r w:rsidRPr="00A0529C">
            <w:rPr>
              <w:rFonts w:ascii="Avenir" w:eastAsia="Avenir" w:hAnsi="Avenir" w:cs="Avenir"/>
              <w:sz w:val="22"/>
              <w:szCs w:val="22"/>
            </w:rPr>
            <w:t xml:space="preserve"> or naproxen,</w:t>
          </w:r>
        </w:sdtContent>
      </w:sdt>
      <w:r w:rsidRPr="00A0529C">
        <w:rPr>
          <w:rFonts w:ascii="Avenir" w:eastAsia="Avenir" w:hAnsi="Avenir" w:cs="Avenir"/>
          <w:sz w:val="22"/>
          <w:szCs w:val="22"/>
        </w:rPr>
        <w:t xml:space="preserve"> should be offered to the patient. Instruct </w:t>
      </w:r>
      <w:r w:rsidRPr="00A0529C">
        <w:rPr>
          <w:rFonts w:ascii="Avenir" w:eastAsia="Avenir" w:hAnsi="Avenir" w:cs="Avenir"/>
          <w:sz w:val="22"/>
          <w:szCs w:val="22"/>
        </w:rPr>
        <w:lastRenderedPageBreak/>
        <w:t xml:space="preserve">the patient to take </w:t>
      </w:r>
      <w:sdt>
        <w:sdtPr>
          <w:tag w:val="goog_rdk_39"/>
          <w:id w:val="1175618066"/>
        </w:sdtPr>
        <w:sdtContent>
          <w:r w:rsidRPr="00A0529C">
            <w:rPr>
              <w:rFonts w:ascii="Avenir" w:eastAsia="Avenir" w:hAnsi="Avenir" w:cs="Avenir"/>
              <w:sz w:val="22"/>
              <w:szCs w:val="22"/>
            </w:rPr>
            <w:t>pain medication</w:t>
          </w:r>
        </w:sdtContent>
      </w:sdt>
      <w:r w:rsidRPr="00A0529C">
        <w:rPr>
          <w:rFonts w:ascii="Avenir" w:eastAsia="Avenir" w:hAnsi="Avenir" w:cs="Avenir"/>
          <w:sz w:val="22"/>
          <w:szCs w:val="22"/>
        </w:rPr>
        <w:t xml:space="preserve"> prior to misoprostol insertion, and then as needed for pain. </w:t>
      </w:r>
      <w:sdt>
        <w:sdtPr>
          <w:tag w:val="goog_rdk_42"/>
          <w:id w:val="-1986695585"/>
        </w:sdtPr>
        <w:sdtContent>
          <w:r w:rsidRPr="00A0529C">
            <w:rPr>
              <w:rFonts w:ascii="Avenir" w:eastAsia="Avenir" w:hAnsi="Avenir" w:cs="Avenir"/>
              <w:sz w:val="22"/>
              <w:szCs w:val="22"/>
            </w:rPr>
            <w:t xml:space="preserve">Offering anti-emetics, such as ondansetron or meclizine, may also be considered. </w:t>
          </w:r>
        </w:sdtContent>
      </w:sdt>
      <w:sdt>
        <w:sdtPr>
          <w:tag w:val="goog_rdk_43"/>
          <w:id w:val="938344453"/>
        </w:sdtPr>
        <w:sdtContent>
          <w:sdt>
            <w:sdtPr>
              <w:tag w:val="goog_rdk_44"/>
              <w:id w:val="-2106721143"/>
            </w:sdtPr>
            <w:sdtContent/>
          </w:sdt>
        </w:sdtContent>
      </w:sdt>
    </w:p>
    <w:p w14:paraId="2F1B76EF" w14:textId="77777777" w:rsidR="00A0529C" w:rsidRDefault="00A0529C" w:rsidP="00A0529C">
      <w:pPr>
        <w:ind w:leftChars="0" w:left="0" w:firstLineChars="0" w:firstLine="0"/>
        <w:rPr>
          <w:rFonts w:ascii="Avenir" w:eastAsia="Avenir" w:hAnsi="Avenir" w:cs="Avenir"/>
          <w:color w:val="000000"/>
          <w:sz w:val="22"/>
          <w:szCs w:val="22"/>
        </w:rPr>
      </w:pPr>
    </w:p>
    <w:p w14:paraId="125E5C6F" w14:textId="54AAF4D9" w:rsid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 xml:space="preserve">Patient Instructions </w:t>
      </w:r>
      <w:r w:rsidRPr="00A0529C">
        <w:rPr>
          <w:rFonts w:ascii="Avenir" w:eastAsia="Avenir" w:hAnsi="Avenir" w:cs="Avenir"/>
          <w:sz w:val="22"/>
          <w:szCs w:val="22"/>
        </w:rPr>
        <w:t>(see</w:t>
      </w:r>
      <w:r w:rsidR="00BE7B25">
        <w:rPr>
          <w:rFonts w:ascii="Avenir" w:eastAsia="Avenir" w:hAnsi="Avenir" w:cs="Avenir"/>
          <w:sz w:val="22"/>
          <w:szCs w:val="22"/>
        </w:rPr>
        <w:t xml:space="preserve"> </w:t>
      </w:r>
      <w:hyperlink r:id="rId8" w:history="1">
        <w:r w:rsidR="00BE7B25" w:rsidRPr="00BE7B25">
          <w:rPr>
            <w:rStyle w:val="Hyperlink"/>
            <w:rFonts w:ascii="Avenir" w:eastAsia="Avenir" w:hAnsi="Avenir" w:cs="Avenir"/>
            <w:sz w:val="22"/>
            <w:szCs w:val="22"/>
          </w:rPr>
          <w:t>RHAP take home instructions</w:t>
        </w:r>
      </w:hyperlink>
      <w:r w:rsidRPr="00A0529C">
        <w:rPr>
          <w:rFonts w:ascii="Avenir" w:eastAsia="Avenir" w:hAnsi="Avenir" w:cs="Avenir"/>
          <w:sz w:val="22"/>
          <w:szCs w:val="22"/>
        </w:rPr>
        <w:t xml:space="preserve"> to give to patient):</w:t>
      </w:r>
      <w:r w:rsidR="00A0529C">
        <w:rPr>
          <w:rFonts w:ascii="Avenir" w:eastAsia="Avenir" w:hAnsi="Avenir" w:cs="Avenir"/>
          <w:sz w:val="22"/>
          <w:szCs w:val="22"/>
        </w:rPr>
        <w:t xml:space="preserve"> </w:t>
      </w:r>
      <w:r w:rsidRPr="00A0529C">
        <w:rPr>
          <w:rFonts w:ascii="Avenir" w:eastAsia="Avenir" w:hAnsi="Avenir" w:cs="Avenir"/>
          <w:sz w:val="22"/>
          <w:szCs w:val="22"/>
        </w:rPr>
        <w:t xml:space="preserve">The patient should be given contact information for how to reach their provider and be provided with guidelines regarding when to call. Patients should be instructed to call for: </w:t>
      </w:r>
      <w:r w:rsidRPr="00A0529C">
        <w:rPr>
          <w:rFonts w:ascii="Avenir" w:eastAsia="Avenir" w:hAnsi="Avenir" w:cs="Avenir"/>
          <w:sz w:val="22"/>
          <w:szCs w:val="22"/>
        </w:rPr>
        <w:tab/>
      </w:r>
      <w:r w:rsidRPr="00A0529C">
        <w:rPr>
          <w:rFonts w:ascii="Avenir" w:eastAsia="Avenir" w:hAnsi="Avenir" w:cs="Avenir"/>
          <w:sz w:val="22"/>
          <w:szCs w:val="22"/>
        </w:rPr>
        <w:tab/>
      </w:r>
    </w:p>
    <w:p w14:paraId="0154873D" w14:textId="77777777" w:rsidR="00A0529C" w:rsidRDefault="00000000" w:rsidP="00A0529C">
      <w:pPr>
        <w:pStyle w:val="ListParagraph"/>
        <w:numPr>
          <w:ilvl w:val="1"/>
          <w:numId w:val="2"/>
        </w:numPr>
        <w:ind w:leftChars="0" w:firstLineChars="0"/>
        <w:rPr>
          <w:rFonts w:ascii="Avenir" w:eastAsia="Avenir" w:hAnsi="Avenir" w:cs="Avenir"/>
          <w:sz w:val="22"/>
          <w:szCs w:val="22"/>
        </w:rPr>
      </w:pPr>
      <w:r w:rsidRPr="00A0529C">
        <w:rPr>
          <w:rFonts w:ascii="Avenir" w:eastAsia="Avenir" w:hAnsi="Avenir" w:cs="Avenir"/>
          <w:sz w:val="22"/>
          <w:szCs w:val="22"/>
        </w:rPr>
        <w:t>Heavy bleeding, defined as soaking through two thick maxi pads per hour for 2 hours in a row;</w:t>
      </w:r>
    </w:p>
    <w:p w14:paraId="032CCE5B" w14:textId="77777777" w:rsidR="00A0529C" w:rsidRDefault="00000000" w:rsidP="00A0529C">
      <w:pPr>
        <w:pStyle w:val="ListParagraph"/>
        <w:numPr>
          <w:ilvl w:val="1"/>
          <w:numId w:val="2"/>
        </w:numPr>
        <w:ind w:leftChars="0" w:firstLineChars="0"/>
        <w:rPr>
          <w:rFonts w:ascii="Avenir" w:eastAsia="Avenir" w:hAnsi="Avenir" w:cs="Avenir"/>
          <w:sz w:val="22"/>
          <w:szCs w:val="22"/>
        </w:rPr>
      </w:pPr>
      <w:r w:rsidRPr="00A0529C">
        <w:rPr>
          <w:rFonts w:ascii="Avenir" w:eastAsia="Avenir" w:hAnsi="Avenir" w:cs="Avenir"/>
          <w:sz w:val="22"/>
          <w:szCs w:val="22"/>
        </w:rPr>
        <w:t>Fever or purulent vaginal discharge; or</w:t>
      </w:r>
    </w:p>
    <w:p w14:paraId="0000001C" w14:textId="408D2E0F" w:rsidR="00FA0DD2" w:rsidRPr="00A0529C" w:rsidRDefault="00000000" w:rsidP="00A0529C">
      <w:pPr>
        <w:pStyle w:val="ListParagraph"/>
        <w:numPr>
          <w:ilvl w:val="1"/>
          <w:numId w:val="2"/>
        </w:numPr>
        <w:ind w:leftChars="0" w:firstLineChars="0"/>
        <w:rPr>
          <w:rFonts w:ascii="Avenir" w:eastAsia="Avenir" w:hAnsi="Avenir" w:cs="Avenir"/>
          <w:sz w:val="22"/>
          <w:szCs w:val="22"/>
        </w:rPr>
      </w:pPr>
      <w:r w:rsidRPr="00A0529C">
        <w:rPr>
          <w:rFonts w:ascii="Avenir" w:eastAsia="Avenir" w:hAnsi="Avenir" w:cs="Avenir"/>
          <w:sz w:val="22"/>
          <w:szCs w:val="22"/>
        </w:rPr>
        <w:t>Uncontrolled pelvic cramps or pain not improved with medication.</w:t>
      </w:r>
    </w:p>
    <w:p w14:paraId="0000001D" w14:textId="77777777" w:rsidR="00FA0DD2" w:rsidRDefault="00FA0DD2">
      <w:pPr>
        <w:ind w:left="0" w:hanging="2"/>
        <w:rPr>
          <w:rFonts w:ascii="Avenir" w:eastAsia="Avenir" w:hAnsi="Avenir" w:cs="Avenir"/>
          <w:sz w:val="22"/>
          <w:szCs w:val="22"/>
        </w:rPr>
      </w:pPr>
    </w:p>
    <w:p w14:paraId="0000001E" w14:textId="187E6FE2" w:rsidR="00FA0DD2" w:rsidRDefault="00000000">
      <w:pPr>
        <w:ind w:left="0" w:hanging="2"/>
        <w:rPr>
          <w:rFonts w:ascii="Avenir" w:eastAsia="Avenir" w:hAnsi="Avenir" w:cs="Avenir"/>
          <w:sz w:val="22"/>
          <w:szCs w:val="22"/>
        </w:rPr>
      </w:pPr>
      <w:r>
        <w:rPr>
          <w:rFonts w:ascii="Avenir" w:eastAsia="Avenir" w:hAnsi="Avenir" w:cs="Avenir"/>
          <w:sz w:val="22"/>
          <w:szCs w:val="22"/>
        </w:rPr>
        <w:t xml:space="preserve">The patient does not need to bring products of conception back to the </w:t>
      </w:r>
      <w:sdt>
        <w:sdtPr>
          <w:tag w:val="goog_rdk_46"/>
          <w:id w:val="577021306"/>
        </w:sdtPr>
        <w:sdtContent>
          <w:r>
            <w:rPr>
              <w:rFonts w:ascii="Avenir" w:eastAsia="Avenir" w:hAnsi="Avenir" w:cs="Avenir"/>
              <w:sz w:val="22"/>
              <w:szCs w:val="22"/>
            </w:rPr>
            <w:t>clinician</w:t>
          </w:r>
        </w:sdtContent>
      </w:sdt>
      <w:sdt>
        <w:sdtPr>
          <w:tag w:val="goog_rdk_47"/>
          <w:id w:val="-1577585419"/>
          <w:showingPlcHdr/>
        </w:sdtPr>
        <w:sdtContent>
          <w:r w:rsidR="00A0529C">
            <w:t xml:space="preserve">     </w:t>
          </w:r>
        </w:sdtContent>
      </w:sdt>
      <w:sdt>
        <w:sdtPr>
          <w:tag w:val="goog_rdk_48"/>
          <w:id w:val="-716815932"/>
          <w:showingPlcHdr/>
        </w:sdtPr>
        <w:sdtContent>
          <w:r w:rsidR="00A0529C">
            <w:t xml:space="preserve">     </w:t>
          </w:r>
        </w:sdtContent>
      </w:sdt>
      <w:r>
        <w:rPr>
          <w:rFonts w:ascii="Avenir" w:eastAsia="Avenir" w:hAnsi="Avenir" w:cs="Avenir"/>
          <w:sz w:val="22"/>
          <w:szCs w:val="22"/>
        </w:rPr>
        <w:t xml:space="preserve">. </w:t>
      </w:r>
    </w:p>
    <w:p w14:paraId="4A7A6C3B" w14:textId="77777777" w:rsidR="00A0529C" w:rsidRDefault="00A0529C" w:rsidP="00A0529C">
      <w:pPr>
        <w:ind w:leftChars="0" w:left="0" w:firstLineChars="0" w:firstLine="0"/>
        <w:rPr>
          <w:rFonts w:ascii="Avenir" w:eastAsia="Avenir" w:hAnsi="Avenir" w:cs="Avenir"/>
          <w:sz w:val="22"/>
          <w:szCs w:val="22"/>
        </w:rPr>
      </w:pPr>
    </w:p>
    <w:p w14:paraId="00000020" w14:textId="5C122FF5" w:rsidR="00FA0DD2" w:rsidRP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Follow up:</w:t>
      </w:r>
      <w:r w:rsidRPr="00A0529C">
        <w:rPr>
          <w:rFonts w:ascii="Avenir" w:eastAsia="Avenir" w:hAnsi="Avenir" w:cs="Avenir"/>
          <w:sz w:val="22"/>
          <w:szCs w:val="22"/>
        </w:rPr>
        <w:t xml:space="preserve"> Patients should schedule follow-up to ensure a complete passage of tissue in one of two ways: 1) repeat quantitative serum hCG level following passage of tissue (a drop of 80% by 7 days) or 2) a transvaginal ultrasound with absence of sac. Note: if one of these criteria has been met, no further follow-up of serum hCGs is warranted.</w:t>
      </w:r>
    </w:p>
    <w:p w14:paraId="00000021" w14:textId="77777777" w:rsidR="00FA0DD2" w:rsidRDefault="00FA0DD2">
      <w:pPr>
        <w:ind w:left="0" w:hanging="2"/>
        <w:rPr>
          <w:rFonts w:ascii="Avenir" w:eastAsia="Avenir" w:hAnsi="Avenir" w:cs="Avenir"/>
          <w:sz w:val="22"/>
          <w:szCs w:val="22"/>
        </w:rPr>
      </w:pPr>
    </w:p>
    <w:p w14:paraId="00000022" w14:textId="6C652F1C" w:rsidR="00FA0DD2" w:rsidRDefault="00000000">
      <w:pPr>
        <w:ind w:left="0" w:hanging="2"/>
        <w:rPr>
          <w:rFonts w:ascii="Avenir" w:eastAsia="Avenir" w:hAnsi="Avenir" w:cs="Avenir"/>
          <w:sz w:val="22"/>
          <w:szCs w:val="22"/>
        </w:rPr>
      </w:pPr>
      <w:r>
        <w:rPr>
          <w:rFonts w:ascii="Avenir" w:eastAsia="Avenir" w:hAnsi="Avenir" w:cs="Avenir"/>
          <w:sz w:val="22"/>
          <w:szCs w:val="22"/>
        </w:rPr>
        <w:t>If no passage of tissue occurs (the patient has not bled as much as a period) within 12-24 hours of taking the misoprostol, the patient may use a second dose of 800 mcg misoprostol. If no passage of tissue occurs by 48 hours, the patient may resume expectant management or be referred for uterine aspiration.</w:t>
      </w:r>
    </w:p>
    <w:p w14:paraId="193AB9B5" w14:textId="77777777" w:rsidR="00A0529C" w:rsidRDefault="00A0529C" w:rsidP="00A0529C">
      <w:pPr>
        <w:ind w:leftChars="0" w:left="0" w:firstLineChars="0" w:firstLine="0"/>
        <w:rPr>
          <w:rFonts w:ascii="Avenir" w:eastAsia="Avenir" w:hAnsi="Avenir" w:cs="Avenir"/>
          <w:sz w:val="22"/>
          <w:szCs w:val="22"/>
        </w:rPr>
      </w:pPr>
    </w:p>
    <w:p w14:paraId="00000024" w14:textId="2DE3BBFB" w:rsidR="00FA0DD2" w:rsidRPr="00A0529C" w:rsidRDefault="00000000" w:rsidP="00A0529C">
      <w:pPr>
        <w:pStyle w:val="ListParagraph"/>
        <w:numPr>
          <w:ilvl w:val="0"/>
          <w:numId w:val="2"/>
        </w:numPr>
        <w:ind w:leftChars="0" w:firstLineChars="0"/>
        <w:rPr>
          <w:rFonts w:ascii="Avenir" w:eastAsia="Avenir" w:hAnsi="Avenir" w:cs="Avenir"/>
          <w:sz w:val="22"/>
          <w:szCs w:val="22"/>
        </w:rPr>
      </w:pPr>
      <w:r w:rsidRPr="00A0529C">
        <w:rPr>
          <w:rFonts w:ascii="Avenir" w:eastAsia="Avenir" w:hAnsi="Avenir" w:cs="Avenir"/>
          <w:b/>
          <w:sz w:val="22"/>
          <w:szCs w:val="22"/>
        </w:rPr>
        <w:t>Documentation:</w:t>
      </w:r>
      <w:r w:rsidRPr="00A0529C">
        <w:rPr>
          <w:rFonts w:ascii="Avenir" w:eastAsia="Avenir" w:hAnsi="Avenir" w:cs="Avenir"/>
          <w:sz w:val="22"/>
          <w:szCs w:val="22"/>
        </w:rPr>
        <w:t xml:space="preserve"> A chart note must be completed, to document the above and ensure a follow-up plan. </w:t>
      </w:r>
    </w:p>
    <w:p w14:paraId="00000025" w14:textId="77777777" w:rsidR="00FA0DD2" w:rsidRDefault="00FA0DD2">
      <w:pPr>
        <w:ind w:left="0" w:hanging="2"/>
        <w:rPr>
          <w:rFonts w:ascii="Avenir" w:eastAsia="Avenir" w:hAnsi="Avenir" w:cs="Avenir"/>
          <w:sz w:val="22"/>
          <w:szCs w:val="22"/>
        </w:rPr>
      </w:pPr>
    </w:p>
    <w:p w14:paraId="54DAD2F7" w14:textId="77777777" w:rsidR="00D95F6B" w:rsidRDefault="00D95F6B">
      <w:pPr>
        <w:suppressAutoHyphens w:val="0"/>
        <w:spacing w:line="240" w:lineRule="auto"/>
        <w:ind w:leftChars="0" w:left="0" w:firstLineChars="0" w:firstLine="0"/>
        <w:textDirection w:val="lrTb"/>
        <w:textAlignment w:val="auto"/>
        <w:outlineLvl w:val="9"/>
        <w:rPr>
          <w:rFonts w:ascii="Avenir" w:eastAsia="Avenir" w:hAnsi="Avenir" w:cs="Avenir"/>
          <w:b/>
          <w:bCs/>
          <w:sz w:val="22"/>
          <w:szCs w:val="22"/>
        </w:rPr>
      </w:pPr>
      <w:r>
        <w:rPr>
          <w:rFonts w:ascii="Avenir" w:eastAsia="Avenir" w:hAnsi="Avenir" w:cs="Avenir"/>
          <w:sz w:val="22"/>
          <w:szCs w:val="22"/>
        </w:rPr>
        <w:br w:type="page"/>
      </w:r>
    </w:p>
    <w:p w14:paraId="00000029" w14:textId="784D9F07" w:rsidR="00FA0DD2" w:rsidRDefault="00000000">
      <w:pPr>
        <w:pStyle w:val="Heading1"/>
        <w:ind w:left="0" w:hanging="2"/>
        <w:rPr>
          <w:rFonts w:ascii="Avenir" w:eastAsia="Avenir" w:hAnsi="Avenir" w:cs="Avenir"/>
          <w:sz w:val="22"/>
          <w:szCs w:val="22"/>
        </w:rPr>
      </w:pPr>
      <w:r>
        <w:rPr>
          <w:rFonts w:ascii="Avenir" w:eastAsia="Avenir" w:hAnsi="Avenir" w:cs="Avenir"/>
          <w:sz w:val="22"/>
          <w:szCs w:val="22"/>
        </w:rPr>
        <w:lastRenderedPageBreak/>
        <w:t>References</w:t>
      </w:r>
    </w:p>
    <w:sdt>
      <w:sdtPr>
        <w:tag w:val="goog_rdk_52"/>
        <w:id w:val="-1405449564"/>
      </w:sdtPr>
      <w:sdtContent>
        <w:p w14:paraId="0000002A" w14:textId="77777777" w:rsidR="00FA0DD2" w:rsidRDefault="00000000">
          <w:pPr>
            <w:ind w:left="0" w:hanging="2"/>
            <w:rPr>
              <w:rFonts w:ascii="Avenir" w:eastAsia="Avenir" w:hAnsi="Avenir" w:cs="Avenir"/>
              <w:sz w:val="22"/>
              <w:szCs w:val="22"/>
            </w:rPr>
          </w:pPr>
          <w:sdt>
            <w:sdtPr>
              <w:tag w:val="goog_rdk_51"/>
              <w:id w:val="-1765524997"/>
            </w:sdtPr>
            <w:sdtContent/>
          </w:sdt>
        </w:p>
      </w:sdtContent>
    </w:sdt>
    <w:sdt>
      <w:sdtPr>
        <w:tag w:val="goog_rdk_54"/>
        <w:id w:val="1020899820"/>
      </w:sdtPr>
      <w:sdtContent>
        <w:p w14:paraId="0000002B" w14:textId="40FF2A9D" w:rsidR="00FA0DD2" w:rsidRDefault="00000000">
          <w:pPr>
            <w:ind w:left="0" w:hanging="2"/>
            <w:rPr>
              <w:rFonts w:ascii="Avenir" w:eastAsia="Avenir" w:hAnsi="Avenir" w:cs="Avenir"/>
              <w:sz w:val="22"/>
              <w:szCs w:val="22"/>
            </w:rPr>
          </w:pPr>
          <w:r>
            <w:rPr>
              <w:rFonts w:ascii="Avenir" w:eastAsia="Avenir" w:hAnsi="Avenir" w:cs="Avenir"/>
              <w:sz w:val="22"/>
              <w:szCs w:val="22"/>
            </w:rPr>
            <w:t>Horvath S, Goyal V, Traxler S, Prager S. Society of Family Planning committee consensus on Rh testing in early pregnancy. Contraception. 2022;114:1-5. doi:10.1016/j.contraception.2022.07.002</w:t>
          </w:r>
        </w:p>
      </w:sdtContent>
    </w:sdt>
    <w:sdt>
      <w:sdtPr>
        <w:tag w:val="goog_rdk_56"/>
        <w:id w:val="-136731683"/>
      </w:sdtPr>
      <w:sdtContent>
        <w:p w14:paraId="0000002C" w14:textId="77777777" w:rsidR="00FA0DD2" w:rsidRDefault="00000000">
          <w:pPr>
            <w:ind w:left="0" w:hanging="2"/>
            <w:rPr>
              <w:rFonts w:ascii="Avenir" w:eastAsia="Avenir" w:hAnsi="Avenir" w:cs="Avenir"/>
              <w:sz w:val="22"/>
              <w:szCs w:val="22"/>
            </w:rPr>
          </w:pPr>
          <w:sdt>
            <w:sdtPr>
              <w:tag w:val="goog_rdk_55"/>
              <w:id w:val="406732429"/>
            </w:sdtPr>
            <w:sdtContent/>
          </w:sdt>
        </w:p>
      </w:sdtContent>
    </w:sdt>
    <w:p w14:paraId="0000002D" w14:textId="77777777" w:rsidR="00FA0DD2" w:rsidRDefault="00000000">
      <w:pPr>
        <w:ind w:left="0" w:hanging="2"/>
        <w:rPr>
          <w:rFonts w:ascii="Avenir" w:eastAsia="Avenir" w:hAnsi="Avenir" w:cs="Avenir"/>
          <w:sz w:val="22"/>
          <w:szCs w:val="22"/>
        </w:rPr>
      </w:pPr>
      <w:r>
        <w:rPr>
          <w:rFonts w:ascii="Avenir" w:eastAsia="Avenir" w:hAnsi="Avenir" w:cs="Avenir"/>
          <w:sz w:val="22"/>
          <w:szCs w:val="22"/>
        </w:rPr>
        <w:t>Chung TKH et al. Spontaneous abortion: a randomized, controlled trial comparing</w:t>
      </w:r>
    </w:p>
    <w:p w14:paraId="0000002E" w14:textId="77777777" w:rsidR="00FA0DD2" w:rsidRDefault="00000000">
      <w:pPr>
        <w:ind w:left="0" w:hanging="2"/>
        <w:rPr>
          <w:rFonts w:ascii="Avenir" w:eastAsia="Avenir" w:hAnsi="Avenir" w:cs="Avenir"/>
          <w:sz w:val="22"/>
          <w:szCs w:val="22"/>
        </w:rPr>
      </w:pPr>
      <w:r>
        <w:rPr>
          <w:rFonts w:ascii="Avenir" w:eastAsia="Avenir" w:hAnsi="Avenir" w:cs="Avenir"/>
          <w:sz w:val="22"/>
          <w:szCs w:val="22"/>
        </w:rPr>
        <w:t xml:space="preserve">surgical evacuation with conservative management using misoprostol. Fertility </w:t>
      </w:r>
    </w:p>
    <w:p w14:paraId="0000002F" w14:textId="77777777" w:rsidR="00FA0DD2" w:rsidRDefault="00000000">
      <w:pPr>
        <w:ind w:left="0" w:hanging="2"/>
        <w:rPr>
          <w:rFonts w:ascii="Avenir" w:eastAsia="Avenir" w:hAnsi="Avenir" w:cs="Avenir"/>
          <w:sz w:val="22"/>
          <w:szCs w:val="22"/>
        </w:rPr>
      </w:pPr>
      <w:r>
        <w:rPr>
          <w:rFonts w:ascii="Avenir" w:eastAsia="Avenir" w:hAnsi="Avenir" w:cs="Avenir"/>
          <w:sz w:val="22"/>
          <w:szCs w:val="22"/>
        </w:rPr>
        <w:t>and Sterility, 1999, 71(6)1054-1059.</w:t>
      </w:r>
    </w:p>
    <w:p w14:paraId="00000030" w14:textId="77777777" w:rsidR="00FA0DD2" w:rsidRDefault="00FA0DD2">
      <w:pPr>
        <w:ind w:left="0" w:hanging="2"/>
        <w:rPr>
          <w:rFonts w:ascii="Avenir" w:eastAsia="Avenir" w:hAnsi="Avenir" w:cs="Avenir"/>
          <w:sz w:val="22"/>
          <w:szCs w:val="22"/>
        </w:rPr>
      </w:pPr>
    </w:p>
    <w:p w14:paraId="00000031" w14:textId="77777777" w:rsidR="00FA0DD2" w:rsidRDefault="00000000">
      <w:pPr>
        <w:ind w:left="0" w:hanging="2"/>
        <w:rPr>
          <w:rFonts w:ascii="Avenir" w:eastAsia="Avenir" w:hAnsi="Avenir" w:cs="Avenir"/>
          <w:sz w:val="22"/>
          <w:szCs w:val="22"/>
        </w:rPr>
      </w:pPr>
      <w:bookmarkStart w:id="0" w:name="_heading=h.gjdgxs" w:colFirst="0" w:colLast="0"/>
      <w:bookmarkEnd w:id="0"/>
      <w:r>
        <w:rPr>
          <w:rFonts w:ascii="Avenir" w:eastAsia="Avenir" w:hAnsi="Avenir" w:cs="Avenir"/>
          <w:sz w:val="22"/>
          <w:szCs w:val="22"/>
        </w:rPr>
        <w:t xml:space="preserve">Prine LW, MacNaughton H. Office Management of Early Pregnancy Loss. American Family Physician. 2011 July 1; 84(1):75-82. </w:t>
      </w:r>
    </w:p>
    <w:p w14:paraId="00000032" w14:textId="77777777" w:rsidR="00FA0DD2" w:rsidRDefault="00FA0DD2">
      <w:pPr>
        <w:ind w:left="0" w:hanging="2"/>
        <w:rPr>
          <w:rFonts w:ascii="Avenir" w:eastAsia="Avenir" w:hAnsi="Avenir" w:cs="Avenir"/>
        </w:rPr>
      </w:pPr>
    </w:p>
    <w:p w14:paraId="00000033" w14:textId="77777777" w:rsidR="00FA0DD2" w:rsidRDefault="00000000">
      <w:pPr>
        <w:ind w:left="0" w:hanging="2"/>
        <w:rPr>
          <w:rFonts w:ascii="Avenir" w:eastAsia="Avenir" w:hAnsi="Avenir" w:cs="Avenir"/>
          <w:sz w:val="22"/>
          <w:szCs w:val="22"/>
        </w:rPr>
      </w:pPr>
      <w:r>
        <w:rPr>
          <w:rFonts w:ascii="Avenir" w:eastAsia="Avenir" w:hAnsi="Avenir" w:cs="Avenir"/>
          <w:sz w:val="22"/>
          <w:szCs w:val="22"/>
        </w:rPr>
        <w:t>Wood SL, Brain PH. Medical management of missed abortion: A randomized clinical trial. Obstetrics and Gynecology, 2002, 99(4)563-566.</w:t>
      </w:r>
    </w:p>
    <w:p w14:paraId="00000034" w14:textId="77777777" w:rsidR="00FA0DD2" w:rsidRDefault="00FA0DD2" w:rsidP="007610AF">
      <w:pPr>
        <w:ind w:leftChars="0" w:left="0" w:firstLineChars="0" w:firstLine="0"/>
        <w:rPr>
          <w:rFonts w:ascii="Avenir" w:eastAsia="Avenir" w:hAnsi="Avenir" w:cs="Avenir"/>
          <w:sz w:val="22"/>
          <w:szCs w:val="22"/>
        </w:rPr>
      </w:pPr>
    </w:p>
    <w:p w14:paraId="15E81A4D" w14:textId="77777777" w:rsidR="007610AF" w:rsidRPr="007610AF" w:rsidRDefault="007610AF" w:rsidP="007610AF">
      <w:pPr>
        <w:suppressAutoHyphens w:val="0"/>
        <w:spacing w:line="240" w:lineRule="auto"/>
        <w:ind w:leftChars="0" w:left="0" w:firstLineChars="0" w:hanging="2"/>
        <w:textDirection w:val="lrTb"/>
        <w:textAlignment w:val="auto"/>
        <w:outlineLvl w:val="9"/>
        <w:rPr>
          <w:noProof w:val="0"/>
          <w:position w:val="0"/>
        </w:rPr>
      </w:pPr>
      <w:r w:rsidRPr="007610AF">
        <w:rPr>
          <w:rFonts w:ascii="Avenir" w:hAnsi="Avenir"/>
          <w:noProof w:val="0"/>
          <w:color w:val="000000"/>
          <w:position w:val="0"/>
          <w:sz w:val="22"/>
          <w:szCs w:val="22"/>
        </w:rPr>
        <w:t>Zhang J, et al. A comparison of medical management with misoprostol and surgical management for early pregnancy failure. N Engl J Med. 2025; 353:761-769. </w:t>
      </w:r>
    </w:p>
    <w:p w14:paraId="0445B85E" w14:textId="77777777" w:rsidR="007610AF" w:rsidRPr="007610AF" w:rsidRDefault="007610AF" w:rsidP="007610AF">
      <w:pPr>
        <w:suppressAutoHyphens w:val="0"/>
        <w:spacing w:line="240" w:lineRule="auto"/>
        <w:ind w:leftChars="0" w:left="0" w:firstLineChars="0" w:hanging="2"/>
        <w:textDirection w:val="lrTb"/>
        <w:textAlignment w:val="auto"/>
        <w:outlineLvl w:val="9"/>
        <w:rPr>
          <w:noProof w:val="0"/>
          <w:position w:val="0"/>
        </w:rPr>
      </w:pPr>
    </w:p>
    <w:p w14:paraId="5E949F4D" w14:textId="77777777" w:rsidR="007610AF" w:rsidRDefault="007610AF" w:rsidP="00A0529C">
      <w:pPr>
        <w:ind w:leftChars="0" w:left="0" w:firstLineChars="0" w:firstLine="0"/>
        <w:rPr>
          <w:rFonts w:ascii="Avenir" w:eastAsia="Avenir" w:hAnsi="Avenir" w:cs="Avenir"/>
          <w:sz w:val="22"/>
          <w:szCs w:val="22"/>
        </w:rPr>
      </w:pPr>
    </w:p>
    <w:sectPr w:rsidR="007610AF" w:rsidSect="00D95F6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0C8F" w14:textId="77777777" w:rsidR="0043425D" w:rsidRDefault="0043425D">
      <w:pPr>
        <w:spacing w:line="240" w:lineRule="auto"/>
        <w:ind w:left="0" w:hanging="2"/>
      </w:pPr>
      <w:r>
        <w:separator/>
      </w:r>
    </w:p>
  </w:endnote>
  <w:endnote w:type="continuationSeparator" w:id="0">
    <w:p w14:paraId="54728720" w14:textId="77777777" w:rsidR="0043425D" w:rsidRDefault="0043425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32012A-AAB3-F249-B8B5-79968BF91FC4}"/>
    <w:embedBold r:id="rId2" w:fontKey="{EFC1C39D-C727-9149-B822-05C8E64F4EF2}"/>
  </w:font>
  <w:font w:name="Tahoma">
    <w:panose1 w:val="020B0604030504040204"/>
    <w:charset w:val="00"/>
    <w:family w:val="swiss"/>
    <w:pitch w:val="variable"/>
    <w:sig w:usb0="E1002EFF" w:usb1="C000605B" w:usb2="00000029" w:usb3="00000000" w:csb0="000101FF" w:csb1="00000000"/>
    <w:embedRegular r:id="rId3" w:fontKey="{FA35CF4F-7C2C-3541-9FF8-F7D01EA854AD}"/>
  </w:font>
  <w:font w:name="Georgia">
    <w:panose1 w:val="02040502050405020303"/>
    <w:charset w:val="00"/>
    <w:family w:val="roman"/>
    <w:pitch w:val="variable"/>
    <w:sig w:usb0="00000287" w:usb1="00000000" w:usb2="00000000" w:usb3="00000000" w:csb0="0000009F" w:csb1="00000000"/>
    <w:embedRegular r:id="rId4" w:fontKey="{F1AC3325-9F56-BD45-B087-56BEA44BD717}"/>
    <w:embedItalic r:id="rId5" w:fontKey="{06EFDF1E-CB82-344C-8D35-4631C7A7614E}"/>
  </w:font>
  <w:font w:name="Avenir">
    <w:panose1 w:val="02000503020000020003"/>
    <w:charset w:val="4D"/>
    <w:family w:val="swiss"/>
    <w:pitch w:val="variable"/>
    <w:sig w:usb0="800000AF" w:usb1="5000204A" w:usb2="00000000" w:usb3="00000000" w:csb0="0000009B" w:csb1="00000000"/>
    <w:embedRegular r:id="rId6" w:fontKey="{0A5FA18E-FB45-9B4F-915A-D35EC696C755}"/>
    <w:embedBold r:id="rId7" w:fontKey="{1CB033F9-76E4-8445-80E2-653ECBAB8358}"/>
  </w:font>
  <w:font w:name="Avenir Book">
    <w:panose1 w:val="02000503020000020003"/>
    <w:charset w:val="00"/>
    <w:family w:val="auto"/>
    <w:pitch w:val="variable"/>
    <w:sig w:usb0="800000AF" w:usb1="5000204A" w:usb2="00000000" w:usb3="00000000" w:csb0="0000009B" w:csb1="00000000"/>
    <w:embedRegular r:id="rId8" w:fontKey="{7E9FA420-F190-1B44-B4F1-394ED6B3EDFE}"/>
  </w:font>
  <w:font w:name="Calibri">
    <w:panose1 w:val="020F0502020204030204"/>
    <w:charset w:val="00"/>
    <w:family w:val="swiss"/>
    <w:pitch w:val="variable"/>
    <w:sig w:usb0="E0002AFF" w:usb1="C000247B" w:usb2="00000009" w:usb3="00000000" w:csb0="000001FF" w:csb1="00000000"/>
    <w:embedRegular r:id="rId9" w:fontKey="{7FDDD7AC-0BC2-D74E-AA98-F2A230BA9E14}"/>
  </w:font>
  <w:font w:name="Cambria">
    <w:panose1 w:val="02040503050406030204"/>
    <w:charset w:val="00"/>
    <w:family w:val="roman"/>
    <w:pitch w:val="variable"/>
    <w:sig w:usb0="E00002FF" w:usb1="400004FF" w:usb2="00000000" w:usb3="00000000" w:csb0="0000019F" w:csb1="00000000"/>
    <w:embedRegular r:id="rId10" w:fontKey="{6D1E28D3-070D-C640-8BDD-66BDD553FA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E0B9" w14:textId="77777777" w:rsidR="00E604C6" w:rsidRDefault="00E604C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69284C65" w:rsidR="00FA0DD2" w:rsidRDefault="00510746">
    <w:pPr>
      <w:pBdr>
        <w:top w:val="nil"/>
        <w:left w:val="nil"/>
        <w:bottom w:val="nil"/>
        <w:right w:val="nil"/>
        <w:between w:val="nil"/>
      </w:pBdr>
      <w:tabs>
        <w:tab w:val="center" w:pos="4320"/>
        <w:tab w:val="right" w:pos="8640"/>
      </w:tabs>
      <w:spacing w:line="240" w:lineRule="auto"/>
      <w:ind w:left="0" w:hanging="2"/>
      <w:rPr>
        <w:rFonts w:ascii="Avenir" w:eastAsia="Avenir" w:hAnsi="Avenir" w:cs="Avenir"/>
        <w:color w:val="000000"/>
        <w:sz w:val="22"/>
        <w:szCs w:val="22"/>
      </w:rPr>
    </w:pPr>
    <w:r>
      <w:rPr>
        <w:rFonts w:ascii="Avenir" w:eastAsia="Avenir" w:hAnsi="Avenir" w:cs="Avenir"/>
        <w:color w:val="000000"/>
        <w:sz w:val="22"/>
        <w:szCs w:val="22"/>
      </w:rPr>
      <w:t>November</w:t>
    </w:r>
    <w:r w:rsidR="00E604C6">
      <w:rPr>
        <w:rFonts w:ascii="Avenir" w:eastAsia="Avenir" w:hAnsi="Avenir" w:cs="Avenir"/>
        <w:color w:val="000000"/>
        <w:sz w:val="22"/>
        <w:szCs w:val="22"/>
      </w:rPr>
      <w:t xml:space="preserve"> </w:t>
    </w:r>
    <w:r w:rsidR="00A0529C">
      <w:rPr>
        <w:rFonts w:ascii="Avenir" w:eastAsia="Avenir" w:hAnsi="Avenir" w:cs="Avenir"/>
        <w:color w:val="000000"/>
        <w:sz w:val="22"/>
        <w:szCs w:val="22"/>
      </w:rPr>
      <w:t>20</w:t>
    </w:r>
    <w:r w:rsidR="00E604C6">
      <w:rPr>
        <w:rFonts w:ascii="Avenir" w:eastAsia="Avenir" w:hAnsi="Avenir" w:cs="Avenir"/>
        <w:color w:val="000000"/>
        <w:sz w:val="22"/>
        <w:szCs w:val="22"/>
      </w:rPr>
      <w:t>23</w:t>
    </w:r>
    <w:r w:rsidR="00A0529C">
      <w:rPr>
        <w:rFonts w:ascii="Avenir" w:eastAsia="Avenir" w:hAnsi="Avenir" w:cs="Avenir"/>
        <w:color w:val="000000"/>
        <w:sz w:val="22"/>
        <w:szCs w:val="22"/>
      </w:rPr>
      <w:t xml:space="preserve"> / www.reproductiveaccess.org </w:t>
    </w:r>
    <w:r w:rsidR="00A0529C">
      <w:drawing>
        <wp:anchor distT="0" distB="0" distL="114300" distR="114300" simplePos="0" relativeHeight="251658240" behindDoc="0" locked="0" layoutInCell="1" hidden="0" allowOverlap="1" wp14:anchorId="540928C6" wp14:editId="7E6E0C31">
          <wp:simplePos x="0" y="0"/>
          <wp:positionH relativeFrom="column">
            <wp:posOffset>4457700</wp:posOffset>
          </wp:positionH>
          <wp:positionV relativeFrom="paragraph">
            <wp:posOffset>-151764</wp:posOffset>
          </wp:positionV>
          <wp:extent cx="989330" cy="4826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26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4832" w14:textId="77777777" w:rsidR="00E604C6" w:rsidRDefault="00E604C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192D" w14:textId="77777777" w:rsidR="0043425D" w:rsidRDefault="0043425D">
      <w:pPr>
        <w:spacing w:line="240" w:lineRule="auto"/>
        <w:ind w:left="0" w:hanging="2"/>
      </w:pPr>
      <w:r>
        <w:separator/>
      </w:r>
    </w:p>
  </w:footnote>
  <w:footnote w:type="continuationSeparator" w:id="0">
    <w:p w14:paraId="04F1A854" w14:textId="77777777" w:rsidR="0043425D" w:rsidRDefault="0043425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2526" w14:textId="77777777" w:rsidR="00E604C6" w:rsidRDefault="00E604C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5" w14:textId="77777777" w:rsidR="00FA0DD2" w:rsidRDefault="00FA0DD2">
    <w:pPr>
      <w:pBdr>
        <w:top w:val="nil"/>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86B6" w14:textId="77777777" w:rsidR="00E604C6" w:rsidRDefault="00E604C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337444"/>
    <w:multiLevelType w:val="multilevel"/>
    <w:tmpl w:val="6A06CB44"/>
    <w:lvl w:ilvl="0">
      <w:start w:val="1"/>
      <w:numFmt w:val="lowerLetter"/>
      <w:lvlText w:val="%1."/>
      <w:lvlJc w:val="left"/>
      <w:pPr>
        <w:ind w:left="2160" w:hanging="360"/>
      </w:pPr>
      <w:rPr>
        <w:u w:val="none"/>
        <w:vertAlign w:val="baseline"/>
      </w:rPr>
    </w:lvl>
    <w:lvl w:ilvl="1">
      <w:start w:val="1"/>
      <w:numFmt w:val="lowerRoman"/>
      <w:lvlText w:val="%2."/>
      <w:lvlJc w:val="right"/>
      <w:pPr>
        <w:ind w:left="2880" w:hanging="360"/>
      </w:pPr>
      <w:rPr>
        <w:u w:val="none"/>
        <w:vertAlign w:val="baseline"/>
      </w:rPr>
    </w:lvl>
    <w:lvl w:ilvl="2">
      <w:start w:val="1"/>
      <w:numFmt w:val="decimal"/>
      <w:lvlText w:val="%3."/>
      <w:lvlJc w:val="left"/>
      <w:pPr>
        <w:ind w:left="3600" w:hanging="360"/>
      </w:pPr>
      <w:rPr>
        <w:u w:val="none"/>
        <w:vertAlign w:val="baseline"/>
      </w:rPr>
    </w:lvl>
    <w:lvl w:ilvl="3">
      <w:start w:val="1"/>
      <w:numFmt w:val="lowerLetter"/>
      <w:lvlText w:val="%4."/>
      <w:lvlJc w:val="left"/>
      <w:pPr>
        <w:ind w:left="4320" w:hanging="360"/>
      </w:pPr>
      <w:rPr>
        <w:u w:val="none"/>
        <w:vertAlign w:val="baseline"/>
      </w:rPr>
    </w:lvl>
    <w:lvl w:ilvl="4">
      <w:start w:val="1"/>
      <w:numFmt w:val="lowerRoman"/>
      <w:lvlText w:val="%5."/>
      <w:lvlJc w:val="right"/>
      <w:pPr>
        <w:ind w:left="5040" w:hanging="360"/>
      </w:pPr>
      <w:rPr>
        <w:u w:val="none"/>
        <w:vertAlign w:val="baseline"/>
      </w:rPr>
    </w:lvl>
    <w:lvl w:ilvl="5">
      <w:start w:val="1"/>
      <w:numFmt w:val="decimal"/>
      <w:lvlText w:val="%6."/>
      <w:lvlJc w:val="left"/>
      <w:pPr>
        <w:ind w:left="5760" w:hanging="360"/>
      </w:pPr>
      <w:rPr>
        <w:u w:val="none"/>
        <w:vertAlign w:val="baseline"/>
      </w:rPr>
    </w:lvl>
    <w:lvl w:ilvl="6">
      <w:start w:val="1"/>
      <w:numFmt w:val="lowerLetter"/>
      <w:lvlText w:val="%7."/>
      <w:lvlJc w:val="left"/>
      <w:pPr>
        <w:ind w:left="6480" w:hanging="360"/>
      </w:pPr>
      <w:rPr>
        <w:u w:val="none"/>
        <w:vertAlign w:val="baseline"/>
      </w:rPr>
    </w:lvl>
    <w:lvl w:ilvl="7">
      <w:start w:val="1"/>
      <w:numFmt w:val="lowerRoman"/>
      <w:lvlText w:val="%8."/>
      <w:lvlJc w:val="right"/>
      <w:pPr>
        <w:ind w:left="7200" w:hanging="360"/>
      </w:pPr>
      <w:rPr>
        <w:u w:val="none"/>
        <w:vertAlign w:val="baseline"/>
      </w:rPr>
    </w:lvl>
    <w:lvl w:ilvl="8">
      <w:start w:val="1"/>
      <w:numFmt w:val="decimal"/>
      <w:lvlText w:val="%9."/>
      <w:lvlJc w:val="left"/>
      <w:pPr>
        <w:ind w:left="7920" w:hanging="360"/>
      </w:pPr>
      <w:rPr>
        <w:u w:val="none"/>
        <w:vertAlign w:val="baseline"/>
      </w:rPr>
    </w:lvl>
  </w:abstractNum>
  <w:abstractNum w:abstractNumId="1" w15:restartNumberingAfterBreak="0">
    <w:nsid w:val="745647FC"/>
    <w:multiLevelType w:val="multilevel"/>
    <w:tmpl w:val="C7A6A3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4621529">
    <w:abstractNumId w:val="0"/>
  </w:num>
  <w:num w:numId="2" w16cid:durableId="1575893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D2"/>
    <w:rsid w:val="00140B94"/>
    <w:rsid w:val="00345A76"/>
    <w:rsid w:val="0043425D"/>
    <w:rsid w:val="00510746"/>
    <w:rsid w:val="006A4191"/>
    <w:rsid w:val="007610AF"/>
    <w:rsid w:val="00A0529C"/>
    <w:rsid w:val="00A55803"/>
    <w:rsid w:val="00BE7B25"/>
    <w:rsid w:val="00D95F6B"/>
    <w:rsid w:val="00E604C6"/>
    <w:rsid w:val="00ED2BFA"/>
    <w:rsid w:val="00F756CB"/>
    <w:rsid w:val="00FA0DD2"/>
    <w:rsid w:val="00FB2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CEF772"/>
  <w15:docId w15:val="{A4F6E59D-C2D7-4C44-B9AC-DCFFB642F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noProof/>
      <w:position w:val="-1"/>
    </w:rPr>
  </w:style>
  <w:style w:type="paragraph" w:styleId="Heading1">
    <w:name w:val="heading 1"/>
    <w:basedOn w:val="Normal"/>
    <w:next w:val="Normal"/>
    <w:uiPriority w:val="9"/>
    <w:qFormat/>
    <w:pPr>
      <w:keepNext/>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styleId="Hyperlink">
    <w:name w:val="Hyperlink"/>
    <w:qFormat/>
    <w:rPr>
      <w:color w:val="0000FF"/>
      <w:w w:val="100"/>
      <w:position w:val="-1"/>
      <w:u w:val="single"/>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style>
  <w:style w:type="character" w:customStyle="1" w:styleId="CommentTextChar">
    <w:name w:val="Comment Text Char"/>
    <w:rPr>
      <w:noProof/>
      <w:w w:val="100"/>
      <w:position w:val="-1"/>
      <w:sz w:val="24"/>
      <w:szCs w:val="24"/>
      <w:effect w:val="none"/>
      <w:vertAlign w:val="baseline"/>
      <w:cs w:val="0"/>
      <w:em w:val="none"/>
    </w:rPr>
  </w:style>
  <w:style w:type="paragraph" w:styleId="CommentSubject">
    <w:name w:val="annotation subject"/>
    <w:basedOn w:val="CommentText"/>
    <w:next w:val="CommentText"/>
    <w:qFormat/>
    <w:rPr>
      <w:b/>
      <w:bCs/>
      <w:sz w:val="20"/>
      <w:szCs w:val="20"/>
    </w:rPr>
  </w:style>
  <w:style w:type="character" w:customStyle="1" w:styleId="CommentSubjectChar">
    <w:name w:val="Comment Subject Char"/>
    <w:rPr>
      <w:b/>
      <w:bCs/>
      <w:noProof/>
      <w:w w:val="100"/>
      <w:position w:val="-1"/>
      <w:sz w:val="24"/>
      <w:szCs w:val="24"/>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40B94"/>
    <w:rPr>
      <w:noProof/>
      <w:position w:val="-1"/>
    </w:rPr>
  </w:style>
  <w:style w:type="paragraph" w:styleId="NormalWeb">
    <w:name w:val="Normal (Web)"/>
    <w:basedOn w:val="Normal"/>
    <w:uiPriority w:val="99"/>
    <w:semiHidden/>
    <w:unhideWhenUsed/>
    <w:rsid w:val="007610AF"/>
    <w:pPr>
      <w:suppressAutoHyphens w:val="0"/>
      <w:spacing w:before="100" w:beforeAutospacing="1" w:after="100" w:afterAutospacing="1" w:line="240" w:lineRule="auto"/>
      <w:ind w:leftChars="0" w:left="0" w:firstLineChars="0" w:firstLine="0"/>
      <w:textDirection w:val="lrTb"/>
      <w:textAlignment w:val="auto"/>
      <w:outlineLvl w:val="9"/>
    </w:pPr>
    <w:rPr>
      <w:noProof w:val="0"/>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590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productiveaccess.org/resource/mabfactsheet-mis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vNcfendMaWHwmkFSj8cLbaWJg==">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eespey</dc:creator>
  <cp:lastModifiedBy>brandy@reproductiveaccess.org</cp:lastModifiedBy>
  <cp:revision>4</cp:revision>
  <dcterms:created xsi:type="dcterms:W3CDTF">2023-11-01T18:51:00Z</dcterms:created>
  <dcterms:modified xsi:type="dcterms:W3CDTF">2023-11-01T18:58:00Z</dcterms:modified>
</cp:coreProperties>
</file>