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C6997F" w14:textId="77777777" w:rsidR="0081058F" w:rsidRDefault="00000000">
      <w:pPr>
        <w:widowControl w:val="0"/>
        <w:pBdr>
          <w:top w:val="nil"/>
          <w:left w:val="nil"/>
          <w:bottom w:val="nil"/>
          <w:right w:val="nil"/>
          <w:between w:val="nil"/>
        </w:pBdr>
        <w:jc w:val="center"/>
        <w:rPr>
          <w:rFonts w:ascii="Avenir" w:eastAsia="Avenir" w:hAnsi="Avenir" w:cs="Avenir"/>
          <w:b/>
          <w:color w:val="000000"/>
          <w:sz w:val="28"/>
          <w:szCs w:val="28"/>
        </w:rPr>
      </w:pPr>
      <w:r>
        <w:rPr>
          <w:rFonts w:ascii="Avenir" w:eastAsia="Avenir" w:hAnsi="Avenir" w:cs="Avenir"/>
          <w:b/>
          <w:color w:val="000000"/>
          <w:sz w:val="28"/>
          <w:szCs w:val="28"/>
        </w:rPr>
        <w:t xml:space="preserve">Telehealth </w:t>
      </w:r>
      <w:r w:rsidR="0081058F">
        <w:rPr>
          <w:rFonts w:ascii="Avenir" w:eastAsia="Avenir" w:hAnsi="Avenir" w:cs="Avenir"/>
          <w:b/>
          <w:color w:val="000000"/>
          <w:sz w:val="28"/>
          <w:szCs w:val="28"/>
        </w:rPr>
        <w:t xml:space="preserve">Care for </w:t>
      </w:r>
      <w:r>
        <w:rPr>
          <w:rFonts w:ascii="Avenir" w:eastAsia="Avenir" w:hAnsi="Avenir" w:cs="Avenir"/>
          <w:b/>
          <w:color w:val="000000"/>
          <w:sz w:val="28"/>
          <w:szCs w:val="28"/>
        </w:rPr>
        <w:t>Medication Abortion Protocol</w:t>
      </w:r>
      <w:r w:rsidR="00AF573B">
        <w:rPr>
          <w:rFonts w:ascii="Avenir" w:eastAsia="Avenir" w:hAnsi="Avenir" w:cs="Avenir"/>
          <w:b/>
          <w:color w:val="000000"/>
          <w:sz w:val="28"/>
          <w:szCs w:val="28"/>
        </w:rPr>
        <w:t xml:space="preserve">: </w:t>
      </w:r>
    </w:p>
    <w:p w14:paraId="6FCE4EBF" w14:textId="5DF965E3" w:rsidR="00AA770A" w:rsidRDefault="00AF573B">
      <w:pPr>
        <w:widowControl w:val="0"/>
        <w:pBdr>
          <w:top w:val="nil"/>
          <w:left w:val="nil"/>
          <w:bottom w:val="nil"/>
          <w:right w:val="nil"/>
          <w:between w:val="nil"/>
        </w:pBdr>
        <w:jc w:val="center"/>
        <w:rPr>
          <w:color w:val="000000"/>
        </w:rPr>
      </w:pPr>
      <w:r>
        <w:rPr>
          <w:rFonts w:ascii="Avenir" w:eastAsia="Avenir" w:hAnsi="Avenir" w:cs="Avenir"/>
          <w:b/>
          <w:color w:val="000000"/>
          <w:sz w:val="28"/>
          <w:szCs w:val="28"/>
        </w:rPr>
        <w:t>Mifepristone &amp; Misoprostol</w:t>
      </w:r>
    </w:p>
    <w:p w14:paraId="58AFF523" w14:textId="77777777" w:rsidR="00AA770A" w:rsidRDefault="00AA770A">
      <w:pPr>
        <w:widowControl w:val="0"/>
        <w:pBdr>
          <w:top w:val="nil"/>
          <w:left w:val="nil"/>
          <w:bottom w:val="nil"/>
          <w:right w:val="nil"/>
          <w:between w:val="nil"/>
        </w:pBdr>
        <w:jc w:val="center"/>
        <w:rPr>
          <w:color w:val="000000"/>
        </w:rPr>
      </w:pPr>
    </w:p>
    <w:p w14:paraId="715C3460" w14:textId="77777777" w:rsidR="00AA770A" w:rsidRDefault="00000000">
      <w:pPr>
        <w:widowControl w:val="0"/>
        <w:pBdr>
          <w:top w:val="nil"/>
          <w:left w:val="nil"/>
          <w:bottom w:val="nil"/>
          <w:right w:val="nil"/>
          <w:between w:val="nil"/>
        </w:pBdr>
        <w:rPr>
          <w:rFonts w:ascii="Avenir" w:eastAsia="Avenir" w:hAnsi="Avenir" w:cs="Avenir"/>
          <w:b/>
          <w:color w:val="000000"/>
        </w:rPr>
      </w:pPr>
      <w:r>
        <w:rPr>
          <w:rFonts w:ascii="Avenir" w:eastAsia="Avenir" w:hAnsi="Avenir" w:cs="Avenir"/>
          <w:b/>
          <w:color w:val="000000"/>
        </w:rPr>
        <w:t>Overview (of the evidence, states may have tighter restrictions)</w:t>
      </w:r>
    </w:p>
    <w:p w14:paraId="6D287205" w14:textId="297A5007" w:rsidR="00D21457" w:rsidRDefault="00D21457">
      <w:pPr>
        <w:widowControl w:val="0"/>
        <w:numPr>
          <w:ilvl w:val="0"/>
          <w:numId w:val="2"/>
        </w:numPr>
        <w:rPr>
          <w:rFonts w:ascii="Avenir" w:eastAsia="Avenir" w:hAnsi="Avenir" w:cs="Avenir"/>
          <w:sz w:val="22"/>
          <w:szCs w:val="22"/>
        </w:rPr>
      </w:pPr>
      <w:r>
        <w:rPr>
          <w:rFonts w:ascii="Avenir" w:eastAsia="Avenir" w:hAnsi="Avenir" w:cs="Avenir"/>
          <w:sz w:val="22"/>
          <w:szCs w:val="22"/>
        </w:rPr>
        <w:t>Telehealth medication abortion is highly safe and effective.</w:t>
      </w:r>
      <w:r>
        <w:rPr>
          <w:rStyle w:val="FootnoteReference"/>
          <w:rFonts w:ascii="Avenir" w:eastAsia="Avenir" w:hAnsi="Avenir" w:cs="Avenir"/>
          <w:sz w:val="22"/>
          <w:szCs w:val="22"/>
        </w:rPr>
        <w:footnoteReference w:id="1"/>
      </w:r>
    </w:p>
    <w:p w14:paraId="636C8839" w14:textId="59C8EA92"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The maximum gestational age is </w:t>
      </w:r>
      <w:r w:rsidR="00663865">
        <w:rPr>
          <w:rFonts w:ascii="Avenir" w:eastAsia="Avenir" w:hAnsi="Avenir" w:cs="Avenir"/>
          <w:sz w:val="22"/>
          <w:szCs w:val="22"/>
        </w:rPr>
        <w:t xml:space="preserve">84 </w:t>
      </w:r>
      <w:r>
        <w:rPr>
          <w:rFonts w:ascii="Avenir" w:eastAsia="Avenir" w:hAnsi="Avenir" w:cs="Avenir"/>
          <w:sz w:val="22"/>
          <w:szCs w:val="22"/>
        </w:rPr>
        <w:t>days</w:t>
      </w:r>
      <w:r w:rsidR="00FF45CC">
        <w:rPr>
          <w:rFonts w:ascii="Avenir" w:eastAsia="Avenir" w:hAnsi="Avenir" w:cs="Avenir"/>
          <w:sz w:val="22"/>
          <w:szCs w:val="22"/>
        </w:rPr>
        <w:t xml:space="preserve"> from last menstrual period (LMP)</w:t>
      </w:r>
      <w:r>
        <w:rPr>
          <w:rFonts w:ascii="Avenir" w:eastAsia="Avenir" w:hAnsi="Avenir" w:cs="Avenir"/>
          <w:sz w:val="22"/>
          <w:szCs w:val="22"/>
        </w:rPr>
        <w:t>.</w:t>
      </w:r>
      <w:r>
        <w:rPr>
          <w:rFonts w:ascii="Avenir" w:eastAsia="Avenir" w:hAnsi="Avenir" w:cs="Avenir"/>
          <w:sz w:val="22"/>
          <w:szCs w:val="22"/>
          <w:vertAlign w:val="superscript"/>
        </w:rPr>
        <w:footnoteReference w:id="2"/>
      </w:r>
      <w:r>
        <w:rPr>
          <w:rFonts w:ascii="Avenir" w:eastAsia="Avenir" w:hAnsi="Avenir" w:cs="Avenir"/>
          <w:sz w:val="22"/>
          <w:szCs w:val="22"/>
        </w:rPr>
        <w:t xml:space="preserve"> </w:t>
      </w:r>
    </w:p>
    <w:p w14:paraId="55B2D40A" w14:textId="39511F03"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The mifepristone dosage is 200 milligrams (one pill). The FDA label allows clinicians and certified pharmacies to dispense mifepristone in-person or by mail. </w:t>
      </w:r>
      <w:r w:rsidR="00FF45CC">
        <w:rPr>
          <w:rFonts w:ascii="Avenir" w:eastAsia="Avenir" w:hAnsi="Avenir" w:cs="Avenir"/>
          <w:sz w:val="22"/>
          <w:szCs w:val="22"/>
        </w:rPr>
        <w:t xml:space="preserve">Find out whether your local pharmacy dispenses mifepristone </w:t>
      </w:r>
      <w:hyperlink r:id="rId8" w:history="1">
        <w:r w:rsidR="00FF45CC" w:rsidRPr="00FF45CC">
          <w:rPr>
            <w:rStyle w:val="Hyperlink"/>
            <w:rFonts w:ascii="Avenir" w:eastAsia="Avenir" w:hAnsi="Avenir" w:cs="Avenir"/>
            <w:sz w:val="22"/>
            <w:szCs w:val="22"/>
          </w:rPr>
          <w:t>here</w:t>
        </w:r>
      </w:hyperlink>
      <w:r w:rsidR="00FF45CC">
        <w:rPr>
          <w:rFonts w:ascii="Avenir" w:eastAsia="Avenir" w:hAnsi="Avenir" w:cs="Avenir"/>
          <w:sz w:val="22"/>
          <w:szCs w:val="22"/>
        </w:rPr>
        <w:t xml:space="preserve">. </w:t>
      </w:r>
    </w:p>
    <w:p w14:paraId="026B6F37" w14:textId="74470950" w:rsidR="00FF45CC" w:rsidRDefault="00FF45CC">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FDA patient agreement forms can be sent and signed through secure email or text communications. </w:t>
      </w:r>
    </w:p>
    <w:p w14:paraId="487D5B99" w14:textId="0BDBC892"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Misoprostol (800 mcg) can be taken buccally, sublingually, or vaginally. Patients should insert misoprostol 24-48 hours after taking mifepristone. For patients with gestational age of 9 to </w:t>
      </w:r>
      <w:r w:rsidR="00663865">
        <w:rPr>
          <w:rFonts w:ascii="Avenir" w:eastAsia="Avenir" w:hAnsi="Avenir" w:cs="Avenir"/>
          <w:sz w:val="22"/>
          <w:szCs w:val="22"/>
        </w:rPr>
        <w:t xml:space="preserve">12 </w:t>
      </w:r>
      <w:r>
        <w:rPr>
          <w:rFonts w:ascii="Avenir" w:eastAsia="Avenir" w:hAnsi="Avenir" w:cs="Avenir"/>
          <w:sz w:val="22"/>
          <w:szCs w:val="22"/>
        </w:rPr>
        <w:t xml:space="preserve">weeks, a second dose of misoprostol should be given for use 4 hours after the first. </w:t>
      </w:r>
    </w:p>
    <w:p w14:paraId="0C2FDFDE"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Patients in hostile environments should consider using misoprostol buccally or sublingually to avoid having pill fragments in the vagina in the rare instance that they need an in-person exam. </w:t>
      </w:r>
    </w:p>
    <w:p w14:paraId="23ABEE9D"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Follow-up is optional. Patients should have instructions for contacting a clinician for questions/concerns. The urine pregnancy test to assure completion is done after 4 weeks and a communication from the patient that it was negative is ideal.</w:t>
      </w:r>
    </w:p>
    <w:p w14:paraId="15EDC1E6"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The prescriber can be any prescribing clinician, including advanced practice clinicians.</w:t>
      </w:r>
    </w:p>
    <w:p w14:paraId="5D344542" w14:textId="77777777" w:rsidR="00AA770A" w:rsidRDefault="00AA770A">
      <w:pPr>
        <w:widowControl w:val="0"/>
        <w:pBdr>
          <w:top w:val="nil"/>
          <w:left w:val="nil"/>
          <w:bottom w:val="nil"/>
          <w:right w:val="nil"/>
          <w:between w:val="nil"/>
        </w:pBdr>
        <w:rPr>
          <w:color w:val="000000"/>
        </w:rPr>
      </w:pPr>
    </w:p>
    <w:p w14:paraId="3951D15D"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rPr>
        <w:t>Telehealth Care for Medication Abortion Process</w:t>
      </w:r>
    </w:p>
    <w:p w14:paraId="45094C41" w14:textId="46286423" w:rsidR="00AA770A" w:rsidRDefault="00000000">
      <w:pPr>
        <w:widowControl w:val="0"/>
        <w:pBdr>
          <w:top w:val="nil"/>
          <w:left w:val="nil"/>
          <w:bottom w:val="nil"/>
          <w:right w:val="nil"/>
          <w:between w:val="nil"/>
        </w:pBdr>
        <w:rPr>
          <w:color w:val="000000"/>
        </w:rPr>
      </w:pPr>
      <w:r>
        <w:rPr>
          <w:rFonts w:ascii="Avenir" w:eastAsia="Avenir" w:hAnsi="Avenir" w:cs="Avenir"/>
          <w:color w:val="000000"/>
          <w:sz w:val="22"/>
          <w:szCs w:val="22"/>
        </w:rPr>
        <w:t xml:space="preserve">The </w:t>
      </w:r>
      <w:r>
        <w:rPr>
          <w:rFonts w:ascii="Avenir" w:eastAsia="Avenir" w:hAnsi="Avenir" w:cs="Avenir"/>
          <w:sz w:val="22"/>
          <w:szCs w:val="22"/>
        </w:rPr>
        <w:t>clinician</w:t>
      </w:r>
      <w:r>
        <w:rPr>
          <w:rFonts w:ascii="Avenir" w:eastAsia="Avenir" w:hAnsi="Avenir" w:cs="Avenir"/>
          <w:color w:val="000000"/>
          <w:sz w:val="22"/>
          <w:szCs w:val="22"/>
        </w:rPr>
        <w:t xml:space="preserve"> should counsel the patient by phone or video chat about pregnancy options (and contraception if desired). Patients who choose medication abortion can then be counseled about the process. Patient information sheets can be emailed, faxed, or sent through patient portals.</w:t>
      </w:r>
    </w:p>
    <w:p w14:paraId="10BF3494" w14:textId="77777777" w:rsidR="00AA770A" w:rsidRDefault="00AA770A">
      <w:pPr>
        <w:widowControl w:val="0"/>
        <w:pBdr>
          <w:top w:val="nil"/>
          <w:left w:val="nil"/>
          <w:bottom w:val="nil"/>
          <w:right w:val="nil"/>
          <w:between w:val="nil"/>
        </w:pBdr>
        <w:rPr>
          <w:color w:val="000000"/>
        </w:rPr>
      </w:pPr>
    </w:p>
    <w:p w14:paraId="1250D8E0"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rPr>
        <w:t>Initial Assessment – Discussion of Home Medication Abortion</w:t>
      </w:r>
    </w:p>
    <w:p w14:paraId="429CCB50" w14:textId="77777777" w:rsidR="00AA770A" w:rsidRDefault="00AA770A">
      <w:pPr>
        <w:widowControl w:val="0"/>
        <w:pBdr>
          <w:top w:val="nil"/>
          <w:left w:val="nil"/>
          <w:bottom w:val="nil"/>
          <w:right w:val="nil"/>
          <w:between w:val="nil"/>
        </w:pBdr>
        <w:rPr>
          <w:color w:val="000000"/>
        </w:rPr>
      </w:pPr>
    </w:p>
    <w:p w14:paraId="14308FE9"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sz w:val="22"/>
          <w:szCs w:val="22"/>
        </w:rPr>
        <w:t>Counseling</w:t>
      </w:r>
    </w:p>
    <w:p w14:paraId="260D9AF0" w14:textId="77777777"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
          <w:bCs/>
          <w:color w:val="000000"/>
          <w:sz w:val="22"/>
          <w:szCs w:val="22"/>
        </w:rPr>
        <w:t>1.</w:t>
      </w:r>
      <w:r>
        <w:rPr>
          <w:rFonts w:ascii="Avenir" w:eastAsia="Avenir" w:hAnsi="Avenir" w:cs="Avenir"/>
          <w:color w:val="000000"/>
          <w:sz w:val="22"/>
          <w:szCs w:val="22"/>
        </w:rPr>
        <w:t xml:space="preserve"> </w:t>
      </w:r>
      <w:r>
        <w:rPr>
          <w:rFonts w:ascii="Avenir" w:eastAsia="Avenir" w:hAnsi="Avenir" w:cs="Avenir"/>
          <w:b/>
          <w:color w:val="000000"/>
          <w:sz w:val="22"/>
          <w:szCs w:val="22"/>
        </w:rPr>
        <w:t>Options counseling:</w:t>
      </w:r>
      <w:r>
        <w:rPr>
          <w:rFonts w:ascii="Avenir" w:eastAsia="Avenir" w:hAnsi="Avenir" w:cs="Avenir"/>
          <w:color w:val="000000"/>
          <w:sz w:val="22"/>
          <w:szCs w:val="22"/>
        </w:rPr>
        <w:t xml:space="preserve"> Assure that the patient understands o</w:t>
      </w:r>
      <w:r>
        <w:rPr>
          <w:rFonts w:ascii="Avenir" w:eastAsia="Avenir" w:hAnsi="Avenir" w:cs="Avenir"/>
          <w:sz w:val="22"/>
          <w:szCs w:val="22"/>
        </w:rPr>
        <w:t>ptions: continuing or ending the pregnancy. Options for ending the pregnancy include medication and aspiration abortion.</w:t>
      </w:r>
    </w:p>
    <w:p w14:paraId="72FDB2FD" w14:textId="77777777" w:rsidR="00AA770A" w:rsidRDefault="00AA770A">
      <w:pPr>
        <w:widowControl w:val="0"/>
        <w:pBdr>
          <w:top w:val="nil"/>
          <w:left w:val="nil"/>
          <w:bottom w:val="nil"/>
          <w:right w:val="nil"/>
          <w:between w:val="nil"/>
        </w:pBdr>
        <w:ind w:left="720"/>
        <w:rPr>
          <w:color w:val="000000"/>
        </w:rPr>
      </w:pPr>
    </w:p>
    <w:p w14:paraId="5EDB707D" w14:textId="77777777" w:rsidR="00FF45CC" w:rsidRDefault="00000000">
      <w:pPr>
        <w:widowControl w:val="0"/>
        <w:pBdr>
          <w:top w:val="nil"/>
          <w:left w:val="nil"/>
          <w:bottom w:val="nil"/>
          <w:right w:val="nil"/>
          <w:between w:val="nil"/>
        </w:pBdr>
        <w:ind w:left="720"/>
        <w:rPr>
          <w:rFonts w:ascii="Avenir" w:eastAsia="Avenir" w:hAnsi="Avenir" w:cs="Avenir"/>
          <w:color w:val="000000"/>
          <w:sz w:val="22"/>
          <w:szCs w:val="22"/>
        </w:rPr>
      </w:pPr>
      <w:r w:rsidRPr="005F6496">
        <w:rPr>
          <w:rFonts w:ascii="Avenir" w:eastAsia="Avenir" w:hAnsi="Avenir" w:cs="Avenir"/>
          <w:b/>
          <w:bCs/>
          <w:color w:val="000000"/>
          <w:sz w:val="22"/>
          <w:szCs w:val="22"/>
        </w:rPr>
        <w:t>2.</w:t>
      </w:r>
      <w:r>
        <w:rPr>
          <w:rFonts w:ascii="Avenir" w:eastAsia="Avenir" w:hAnsi="Avenir" w:cs="Avenir"/>
          <w:color w:val="000000"/>
          <w:sz w:val="22"/>
          <w:szCs w:val="22"/>
        </w:rPr>
        <w:t xml:space="preserve"> </w:t>
      </w:r>
      <w:r>
        <w:rPr>
          <w:rFonts w:ascii="Avenir" w:eastAsia="Avenir" w:hAnsi="Avenir" w:cs="Avenir"/>
          <w:b/>
          <w:color w:val="000000"/>
          <w:sz w:val="22"/>
          <w:szCs w:val="22"/>
        </w:rPr>
        <w:t>Review of expected effects:</w:t>
      </w:r>
      <w:r>
        <w:rPr>
          <w:rFonts w:ascii="Avenir" w:eastAsia="Avenir" w:hAnsi="Avenir" w:cs="Avenir"/>
          <w:color w:val="000000"/>
          <w:sz w:val="22"/>
          <w:szCs w:val="22"/>
        </w:rPr>
        <w:t xml:space="preserve"> </w:t>
      </w:r>
    </w:p>
    <w:p w14:paraId="6BCE8552" w14:textId="7AC5770C" w:rsidR="00FF45CC" w:rsidRDefault="00000000" w:rsidP="00FF45CC">
      <w:pPr>
        <w:pStyle w:val="ListParagraph"/>
        <w:widowControl w:val="0"/>
        <w:numPr>
          <w:ilvl w:val="0"/>
          <w:numId w:val="4"/>
        </w:numPr>
        <w:pBdr>
          <w:top w:val="nil"/>
          <w:left w:val="nil"/>
          <w:bottom w:val="nil"/>
          <w:right w:val="nil"/>
          <w:between w:val="nil"/>
        </w:pBdr>
        <w:rPr>
          <w:rFonts w:ascii="Avenir" w:eastAsia="Avenir" w:hAnsi="Avenir" w:cs="Avenir"/>
          <w:color w:val="000000"/>
          <w:sz w:val="22"/>
          <w:szCs w:val="22"/>
        </w:rPr>
      </w:pPr>
      <w:r w:rsidRPr="001E6E81">
        <w:rPr>
          <w:rFonts w:ascii="Avenir" w:eastAsia="Avenir" w:hAnsi="Avenir" w:cs="Avenir"/>
          <w:color w:val="000000"/>
          <w:sz w:val="22"/>
          <w:szCs w:val="22"/>
        </w:rPr>
        <w:lastRenderedPageBreak/>
        <w:t>Bleeding</w:t>
      </w:r>
      <w:r w:rsidR="00FF45CC">
        <w:rPr>
          <w:rFonts w:ascii="Avenir" w:eastAsia="Avenir" w:hAnsi="Avenir" w:cs="Avenir"/>
          <w:color w:val="000000"/>
          <w:sz w:val="22"/>
          <w:szCs w:val="22"/>
        </w:rPr>
        <w:t>: The heaviest bleeding (usually heavier than with menses) will likely occur several hours after taking misoprostol and will last 1-2 days. Bleeding/spotting is typical up to 9-16 days.</w:t>
      </w:r>
      <w:r w:rsidR="00FF45CC">
        <w:rPr>
          <w:rStyle w:val="FootnoteReference"/>
          <w:rFonts w:ascii="Avenir" w:eastAsia="Avenir" w:hAnsi="Avenir" w:cs="Avenir"/>
          <w:color w:val="000000"/>
          <w:sz w:val="22"/>
          <w:szCs w:val="22"/>
        </w:rPr>
        <w:footnoteReference w:id="3"/>
      </w:r>
      <w:r w:rsidR="00710482">
        <w:rPr>
          <w:rFonts w:ascii="Avenir" w:eastAsia="Avenir" w:hAnsi="Avenir" w:cs="Avenir"/>
          <w:color w:val="000000"/>
          <w:sz w:val="22"/>
          <w:szCs w:val="22"/>
          <w:vertAlign w:val="superscript"/>
        </w:rPr>
        <w:t>,</w:t>
      </w:r>
      <w:r w:rsidR="00710482">
        <w:rPr>
          <w:rStyle w:val="FootnoteReference"/>
          <w:rFonts w:ascii="Avenir" w:eastAsia="Avenir" w:hAnsi="Avenir" w:cs="Avenir"/>
          <w:color w:val="000000"/>
          <w:sz w:val="22"/>
          <w:szCs w:val="22"/>
        </w:rPr>
        <w:footnoteReference w:id="4"/>
      </w:r>
      <w:r w:rsidR="00FF45CC">
        <w:rPr>
          <w:rFonts w:ascii="Avenir" w:eastAsia="Avenir" w:hAnsi="Avenir" w:cs="Avenir"/>
          <w:color w:val="000000"/>
          <w:sz w:val="22"/>
          <w:szCs w:val="22"/>
        </w:rPr>
        <w:t xml:space="preserve"> A small number of patients (8%) may experience some type of bleeding for 20 days or more.</w:t>
      </w:r>
      <w:r w:rsidR="00710482">
        <w:rPr>
          <w:rStyle w:val="FootnoteReference"/>
          <w:rFonts w:ascii="Avenir" w:eastAsia="Avenir" w:hAnsi="Avenir" w:cs="Avenir"/>
          <w:color w:val="000000"/>
          <w:sz w:val="22"/>
          <w:szCs w:val="22"/>
        </w:rPr>
        <w:footnoteReference w:id="5"/>
      </w:r>
      <w:r w:rsidR="00FF45CC">
        <w:rPr>
          <w:rFonts w:ascii="Avenir" w:eastAsia="Avenir" w:hAnsi="Avenir" w:cs="Avenir"/>
          <w:color w:val="000000"/>
          <w:sz w:val="22"/>
          <w:szCs w:val="22"/>
        </w:rPr>
        <w:t xml:space="preserve"> The amount and duration of bleeding is likely to increase with gestational age. There is a very small risk of prolonged bleeding requiring uterine aspiration. </w:t>
      </w:r>
      <w:r w:rsidR="00FF45CC" w:rsidRPr="00C3716F">
        <w:rPr>
          <w:rFonts w:ascii="Avenir" w:eastAsia="Avenir" w:hAnsi="Avenir" w:cs="Avenir"/>
          <w:color w:val="000000"/>
          <w:sz w:val="22"/>
          <w:szCs w:val="22"/>
        </w:rPr>
        <w:t>The patient should be instructed in how much bleeding would be considered excessive (more than 2 soaked pads per hour for two hours in a row) and when to call the clinician (see below</w:t>
      </w:r>
      <w:r w:rsidR="00FF45CC" w:rsidRPr="001E6E81">
        <w:rPr>
          <w:rFonts w:ascii="Avenir Book" w:eastAsia="Avenir" w:hAnsi="Avenir Book" w:cs="Avenir"/>
          <w:color w:val="000000"/>
          <w:sz w:val="22"/>
          <w:szCs w:val="22"/>
        </w:rPr>
        <w:t xml:space="preserve">). </w:t>
      </w:r>
      <w:r w:rsidR="00FF45CC" w:rsidRPr="001E6E81">
        <w:rPr>
          <w:rFonts w:ascii="Avenir Book" w:hAnsi="Avenir Book"/>
          <w:sz w:val="22"/>
          <w:szCs w:val="22"/>
        </w:rPr>
        <w:t xml:space="preserve">The size of the pregnancy tissue increases with gestational age. You can use </w:t>
      </w:r>
      <w:hyperlink r:id="rId9" w:history="1">
        <w:r w:rsidR="00FF45CC" w:rsidRPr="001E6E81">
          <w:rPr>
            <w:rStyle w:val="Hyperlink"/>
            <w:rFonts w:ascii="Avenir Book" w:hAnsi="Avenir Book"/>
            <w:sz w:val="22"/>
            <w:szCs w:val="22"/>
          </w:rPr>
          <w:t>these</w:t>
        </w:r>
      </w:hyperlink>
      <w:r w:rsidR="00FF45CC">
        <w:rPr>
          <w:rFonts w:ascii="Avenir Book" w:hAnsi="Avenir Book"/>
          <w:sz w:val="22"/>
          <w:szCs w:val="22"/>
        </w:rPr>
        <w:t xml:space="preserve"> </w:t>
      </w:r>
      <w:r w:rsidR="00FF45CC" w:rsidRPr="001E6E81">
        <w:rPr>
          <w:rFonts w:ascii="Avenir Book" w:hAnsi="Avenir Book"/>
          <w:sz w:val="22"/>
          <w:szCs w:val="22"/>
        </w:rPr>
        <w:t>pictures to help prepare patients for what they should expect to see based on their gestational age.</w:t>
      </w:r>
    </w:p>
    <w:p w14:paraId="0112B9E4" w14:textId="1BD86E9F" w:rsidR="00710482" w:rsidRDefault="00FF45CC" w:rsidP="00710482">
      <w:pPr>
        <w:pStyle w:val="ListParagraph"/>
        <w:widowControl w:val="0"/>
        <w:numPr>
          <w:ilvl w:val="0"/>
          <w:numId w:val="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C</w:t>
      </w:r>
      <w:r w:rsidRPr="001E6E81">
        <w:rPr>
          <w:rFonts w:ascii="Avenir" w:eastAsia="Avenir" w:hAnsi="Avenir" w:cs="Avenir"/>
          <w:color w:val="000000"/>
          <w:sz w:val="22"/>
          <w:szCs w:val="22"/>
        </w:rPr>
        <w:t>ramping</w:t>
      </w:r>
      <w:r>
        <w:rPr>
          <w:rFonts w:ascii="Avenir" w:eastAsia="Avenir" w:hAnsi="Avenir" w:cs="Avenir"/>
          <w:color w:val="000000"/>
          <w:sz w:val="22"/>
          <w:szCs w:val="22"/>
        </w:rPr>
        <w:t xml:space="preserve"> and uterine pain is expected for up to a few days.</w:t>
      </w:r>
      <w:r w:rsidR="00710482">
        <w:rPr>
          <w:rFonts w:ascii="Avenir" w:eastAsia="Avenir" w:hAnsi="Avenir" w:cs="Avenir"/>
          <w:color w:val="000000"/>
          <w:sz w:val="22"/>
          <w:szCs w:val="22"/>
          <w:vertAlign w:val="superscript"/>
        </w:rPr>
        <w:t>3</w:t>
      </w:r>
    </w:p>
    <w:p w14:paraId="01347140" w14:textId="591886AD" w:rsidR="00710482" w:rsidRPr="001E6E81" w:rsidRDefault="00FF45CC" w:rsidP="00710482">
      <w:pPr>
        <w:pStyle w:val="ListParagraph"/>
        <w:widowControl w:val="0"/>
        <w:numPr>
          <w:ilvl w:val="0"/>
          <w:numId w:val="4"/>
        </w:numPr>
        <w:pBdr>
          <w:top w:val="nil"/>
          <w:left w:val="nil"/>
          <w:bottom w:val="nil"/>
          <w:right w:val="nil"/>
          <w:between w:val="nil"/>
        </w:pBdr>
        <w:rPr>
          <w:rFonts w:ascii="Avenir" w:eastAsia="Avenir" w:hAnsi="Avenir" w:cs="Avenir"/>
          <w:color w:val="000000"/>
          <w:sz w:val="22"/>
          <w:szCs w:val="22"/>
        </w:rPr>
      </w:pPr>
      <w:r w:rsidRPr="001E6E81">
        <w:rPr>
          <w:rFonts w:ascii="Avenir Book" w:hAnsi="Avenir Book"/>
          <w:sz w:val="22"/>
          <w:szCs w:val="22"/>
        </w:rPr>
        <w:t xml:space="preserve">There are other commonly reported side effects, that should not last longer than 24 hours after taking misoprostol. If these last longer, patient should be instructed to contact the office to determine if they should seek care. </w:t>
      </w:r>
    </w:p>
    <w:p w14:paraId="20DB249C" w14:textId="5972B49D" w:rsidR="00FF45CC" w:rsidRPr="001E6E81" w:rsidRDefault="00FF45CC" w:rsidP="001E6E81">
      <w:pPr>
        <w:pStyle w:val="ListParagraph"/>
        <w:widowControl w:val="0"/>
        <w:numPr>
          <w:ilvl w:val="1"/>
          <w:numId w:val="4"/>
        </w:numPr>
        <w:pBdr>
          <w:top w:val="nil"/>
          <w:left w:val="nil"/>
          <w:bottom w:val="nil"/>
          <w:right w:val="nil"/>
          <w:between w:val="nil"/>
        </w:pBdr>
        <w:rPr>
          <w:rFonts w:ascii="Avenir" w:eastAsia="Avenir" w:hAnsi="Avenir" w:cs="Avenir"/>
          <w:color w:val="000000"/>
          <w:sz w:val="22"/>
          <w:szCs w:val="22"/>
        </w:rPr>
      </w:pPr>
      <w:r w:rsidRPr="001E6E81">
        <w:rPr>
          <w:rFonts w:ascii="Avenir Book" w:hAnsi="Avenir Book"/>
          <w:sz w:val="22"/>
          <w:szCs w:val="22"/>
        </w:rPr>
        <w:t xml:space="preserve">These include: </w:t>
      </w:r>
      <w:r w:rsidR="00710482" w:rsidRPr="001E6E81">
        <w:rPr>
          <w:rFonts w:ascii="Avenir Book" w:hAnsi="Avenir Book"/>
          <w:sz w:val="22"/>
          <w:szCs w:val="22"/>
        </w:rPr>
        <w:t>d</w:t>
      </w:r>
      <w:r w:rsidRPr="001E6E81">
        <w:rPr>
          <w:rFonts w:ascii="Avenir Book" w:hAnsi="Avenir Book"/>
          <w:sz w:val="22"/>
          <w:szCs w:val="22"/>
        </w:rPr>
        <w:t>iarrhea, nausea, vomiting</w:t>
      </w:r>
      <w:r w:rsidR="00710482" w:rsidRPr="001E6E81">
        <w:rPr>
          <w:rFonts w:ascii="Avenir Book" w:hAnsi="Avenir Book"/>
          <w:sz w:val="22"/>
          <w:szCs w:val="22"/>
        </w:rPr>
        <w:t>, w</w:t>
      </w:r>
      <w:r w:rsidRPr="001E6E81">
        <w:rPr>
          <w:rFonts w:ascii="Avenir Book" w:hAnsi="Avenir Book"/>
          <w:sz w:val="22"/>
          <w:szCs w:val="22"/>
        </w:rPr>
        <w:t>eakness</w:t>
      </w:r>
      <w:r w:rsidR="00710482" w:rsidRPr="001E6E81">
        <w:rPr>
          <w:rFonts w:ascii="Avenir Book" w:hAnsi="Avenir Book"/>
          <w:sz w:val="22"/>
          <w:szCs w:val="22"/>
        </w:rPr>
        <w:t>, f</w:t>
      </w:r>
      <w:r w:rsidRPr="001E6E81">
        <w:rPr>
          <w:rFonts w:ascii="Avenir Book" w:hAnsi="Avenir Book"/>
          <w:sz w:val="22"/>
          <w:szCs w:val="22"/>
        </w:rPr>
        <w:t>ever/chills</w:t>
      </w:r>
      <w:r w:rsidR="00710482" w:rsidRPr="001E6E81">
        <w:rPr>
          <w:rFonts w:ascii="Avenir Book" w:hAnsi="Avenir Book"/>
          <w:sz w:val="22"/>
          <w:szCs w:val="22"/>
        </w:rPr>
        <w:t>, h</w:t>
      </w:r>
      <w:r w:rsidRPr="001E6E81">
        <w:rPr>
          <w:rFonts w:ascii="Avenir Book" w:hAnsi="Avenir Book"/>
          <w:sz w:val="22"/>
          <w:szCs w:val="22"/>
        </w:rPr>
        <w:t>eadache</w:t>
      </w:r>
      <w:r w:rsidR="00710482" w:rsidRPr="001E6E81">
        <w:rPr>
          <w:rFonts w:ascii="Avenir Book" w:hAnsi="Avenir Book"/>
          <w:sz w:val="22"/>
          <w:szCs w:val="22"/>
        </w:rPr>
        <w:t>, and d</w:t>
      </w:r>
      <w:r w:rsidRPr="001E6E81">
        <w:rPr>
          <w:rFonts w:ascii="Avenir Book" w:hAnsi="Avenir Book"/>
          <w:sz w:val="22"/>
          <w:szCs w:val="22"/>
        </w:rPr>
        <w:t>izziness</w:t>
      </w:r>
      <w:r w:rsidR="00710482">
        <w:rPr>
          <w:rFonts w:ascii="Avenir Book" w:hAnsi="Avenir Book"/>
          <w:sz w:val="22"/>
          <w:szCs w:val="22"/>
        </w:rPr>
        <w:t>.</w:t>
      </w:r>
    </w:p>
    <w:p w14:paraId="6524C1B8" w14:textId="5F62823B" w:rsidR="00710482" w:rsidRPr="001E6E81" w:rsidRDefault="00710482" w:rsidP="00710482">
      <w:pPr>
        <w:pStyle w:val="ListParagraph"/>
        <w:widowControl w:val="0"/>
        <w:numPr>
          <w:ilvl w:val="0"/>
          <w:numId w:val="4"/>
        </w:numPr>
        <w:pBdr>
          <w:top w:val="nil"/>
          <w:left w:val="nil"/>
          <w:bottom w:val="nil"/>
          <w:right w:val="nil"/>
          <w:between w:val="nil"/>
        </w:pBdr>
        <w:rPr>
          <w:rFonts w:ascii="Avenir" w:eastAsia="Avenir" w:hAnsi="Avenir" w:cs="Avenir"/>
          <w:color w:val="000000"/>
          <w:sz w:val="22"/>
          <w:szCs w:val="22"/>
        </w:rPr>
      </w:pPr>
      <w:r>
        <w:rPr>
          <w:rFonts w:ascii="Avenir Book" w:hAnsi="Avenir Book"/>
          <w:sz w:val="22"/>
          <w:szCs w:val="22"/>
        </w:rPr>
        <w:t>Other reasons patients should contact the office:</w:t>
      </w:r>
    </w:p>
    <w:p w14:paraId="0B50E3E4" w14:textId="77777777" w:rsidR="00710482" w:rsidRPr="00D44AAD" w:rsidRDefault="00710482" w:rsidP="00710482">
      <w:pPr>
        <w:numPr>
          <w:ilvl w:val="1"/>
          <w:numId w:val="4"/>
        </w:numPr>
        <w:pBdr>
          <w:top w:val="nil"/>
          <w:left w:val="nil"/>
          <w:bottom w:val="nil"/>
          <w:right w:val="nil"/>
          <w:between w:val="nil"/>
        </w:pBdr>
        <w:rPr>
          <w:rFonts w:ascii="Avenir Book" w:hAnsi="Avenir Book"/>
          <w:color w:val="000000"/>
          <w:sz w:val="22"/>
          <w:szCs w:val="22"/>
        </w:rPr>
      </w:pPr>
      <w:r>
        <w:rPr>
          <w:rFonts w:ascii="Avenir" w:eastAsia="Avenir" w:hAnsi="Avenir" w:cs="Avenir"/>
          <w:color w:val="000000"/>
          <w:sz w:val="22"/>
          <w:szCs w:val="22"/>
        </w:rPr>
        <w:t xml:space="preserve">Severe or increasing pain or cramps that don’t get better with pain medicine, rest, </w:t>
      </w:r>
      <w:r w:rsidRPr="00365B36">
        <w:rPr>
          <w:rFonts w:ascii="Avenir Book" w:eastAsia="Avenir" w:hAnsi="Avenir Book" w:cs="Avenir"/>
          <w:color w:val="000000"/>
          <w:sz w:val="22"/>
          <w:szCs w:val="22"/>
        </w:rPr>
        <w:t>or heating pads</w:t>
      </w:r>
    </w:p>
    <w:p w14:paraId="39435C0C" w14:textId="77777777" w:rsidR="00710482" w:rsidRPr="00365B36" w:rsidRDefault="00710482" w:rsidP="00710482">
      <w:pPr>
        <w:numPr>
          <w:ilvl w:val="1"/>
          <w:numId w:val="4"/>
        </w:numPr>
        <w:pBdr>
          <w:top w:val="nil"/>
          <w:left w:val="nil"/>
          <w:bottom w:val="nil"/>
          <w:right w:val="nil"/>
          <w:between w:val="nil"/>
        </w:pBdr>
        <w:rPr>
          <w:rFonts w:ascii="Avenir Book" w:hAnsi="Avenir Book"/>
          <w:color w:val="000000"/>
          <w:sz w:val="22"/>
          <w:szCs w:val="22"/>
        </w:rPr>
      </w:pPr>
      <w:r>
        <w:rPr>
          <w:rFonts w:ascii="Avenir Book" w:eastAsia="Avenir" w:hAnsi="Avenir Book" w:cs="Avenir"/>
          <w:color w:val="000000"/>
          <w:sz w:val="22"/>
          <w:szCs w:val="22"/>
        </w:rPr>
        <w:t>Fever of 100.4ºF or higher for more than 24 hours after last dose of misoprostol</w:t>
      </w:r>
    </w:p>
    <w:p w14:paraId="682F175E" w14:textId="77777777" w:rsidR="00710482" w:rsidRPr="00365B36" w:rsidRDefault="00710482" w:rsidP="00710482">
      <w:pPr>
        <w:numPr>
          <w:ilvl w:val="1"/>
          <w:numId w:val="4"/>
        </w:numPr>
        <w:pBdr>
          <w:top w:val="nil"/>
          <w:left w:val="nil"/>
          <w:bottom w:val="nil"/>
          <w:right w:val="nil"/>
          <w:between w:val="nil"/>
        </w:pBdr>
        <w:rPr>
          <w:rFonts w:ascii="Avenir Book" w:hAnsi="Avenir Book"/>
          <w:color w:val="000000"/>
          <w:sz w:val="22"/>
          <w:szCs w:val="22"/>
        </w:rPr>
      </w:pPr>
      <w:r w:rsidRPr="00365B36">
        <w:rPr>
          <w:rFonts w:ascii="Avenir Book" w:hAnsi="Avenir Book"/>
          <w:color w:val="000000"/>
          <w:sz w:val="22"/>
          <w:szCs w:val="22"/>
        </w:rPr>
        <w:t>Bleeding that soaks through 2 maxi pads an hour for 2 hours or more</w:t>
      </w:r>
    </w:p>
    <w:p w14:paraId="71A05746" w14:textId="77777777" w:rsidR="00710482" w:rsidRPr="00365B36" w:rsidRDefault="00710482" w:rsidP="00710482">
      <w:pPr>
        <w:numPr>
          <w:ilvl w:val="1"/>
          <w:numId w:val="4"/>
        </w:numPr>
        <w:pBdr>
          <w:top w:val="nil"/>
          <w:left w:val="nil"/>
          <w:bottom w:val="nil"/>
          <w:right w:val="nil"/>
          <w:between w:val="nil"/>
        </w:pBdr>
        <w:rPr>
          <w:rFonts w:ascii="Avenir Book" w:hAnsi="Avenir Book"/>
          <w:color w:val="000000"/>
          <w:sz w:val="22"/>
          <w:szCs w:val="22"/>
        </w:rPr>
      </w:pPr>
      <w:r w:rsidRPr="00365B36">
        <w:rPr>
          <w:rFonts w:ascii="Avenir Book" w:hAnsi="Avenir Book"/>
          <w:color w:val="000000"/>
          <w:sz w:val="22"/>
          <w:szCs w:val="22"/>
        </w:rPr>
        <w:t>Symptoms of allergic reaction (rash, shortness of breath)</w:t>
      </w:r>
    </w:p>
    <w:p w14:paraId="2F410860" w14:textId="77777777" w:rsidR="00710482" w:rsidRDefault="00710482" w:rsidP="00710482">
      <w:pPr>
        <w:numPr>
          <w:ilvl w:val="1"/>
          <w:numId w:val="4"/>
        </w:numPr>
        <w:pBdr>
          <w:top w:val="nil"/>
          <w:left w:val="nil"/>
          <w:bottom w:val="nil"/>
          <w:right w:val="nil"/>
          <w:between w:val="nil"/>
        </w:pBdr>
        <w:rPr>
          <w:rFonts w:ascii="Avenir Book" w:hAnsi="Avenir Book"/>
          <w:color w:val="000000"/>
          <w:sz w:val="22"/>
          <w:szCs w:val="22"/>
        </w:rPr>
      </w:pPr>
      <w:r w:rsidRPr="00365B36">
        <w:rPr>
          <w:rFonts w:ascii="Avenir Book" w:hAnsi="Avenir Book"/>
          <w:color w:val="000000"/>
          <w:sz w:val="22"/>
          <w:szCs w:val="22"/>
        </w:rPr>
        <w:t>Any concerns or questions</w:t>
      </w:r>
    </w:p>
    <w:p w14:paraId="61F3789C" w14:textId="77777777" w:rsidR="00710482" w:rsidRPr="00D44AAD" w:rsidRDefault="00710482" w:rsidP="00710482">
      <w:pPr>
        <w:pStyle w:val="ListParagraph"/>
        <w:numPr>
          <w:ilvl w:val="0"/>
          <w:numId w:val="6"/>
        </w:numPr>
        <w:pBdr>
          <w:top w:val="nil"/>
          <w:left w:val="nil"/>
          <w:bottom w:val="nil"/>
          <w:right w:val="nil"/>
          <w:between w:val="nil"/>
        </w:pBdr>
        <w:rPr>
          <w:rFonts w:ascii="Avenir Book" w:hAnsi="Avenir Book"/>
          <w:color w:val="000000"/>
          <w:sz w:val="22"/>
          <w:szCs w:val="22"/>
        </w:rPr>
      </w:pPr>
      <w:r w:rsidRPr="00D44AAD">
        <w:rPr>
          <w:rFonts w:ascii="Avenir Book" w:hAnsi="Avenir Book"/>
          <w:color w:val="000000"/>
          <w:sz w:val="22"/>
          <w:szCs w:val="22"/>
        </w:rPr>
        <w:t>One week after taking misoprostol, the patient should contact the office if they have any of the following symptoms of a possible continuing pregnancy</w:t>
      </w:r>
      <w:r>
        <w:rPr>
          <w:rFonts w:ascii="Avenir Book" w:hAnsi="Avenir Book"/>
          <w:color w:val="000000"/>
          <w:sz w:val="22"/>
          <w:szCs w:val="22"/>
        </w:rPr>
        <w:t>:</w:t>
      </w:r>
    </w:p>
    <w:p w14:paraId="5466F13B" w14:textId="77777777" w:rsidR="00710482" w:rsidRDefault="00710482" w:rsidP="00710482">
      <w:pPr>
        <w:numPr>
          <w:ilvl w:val="1"/>
          <w:numId w:val="5"/>
        </w:numPr>
        <w:pBdr>
          <w:top w:val="nil"/>
          <w:left w:val="nil"/>
          <w:bottom w:val="nil"/>
          <w:right w:val="nil"/>
          <w:between w:val="nil"/>
        </w:pBdr>
        <w:rPr>
          <w:rFonts w:ascii="Avenir Book" w:hAnsi="Avenir Book"/>
          <w:color w:val="000000"/>
          <w:sz w:val="22"/>
          <w:szCs w:val="22"/>
        </w:rPr>
      </w:pPr>
      <w:r>
        <w:rPr>
          <w:rFonts w:ascii="Avenir Book" w:hAnsi="Avenir Book"/>
          <w:color w:val="000000"/>
          <w:sz w:val="22"/>
          <w:szCs w:val="22"/>
        </w:rPr>
        <w:t>Light or no bleeding</w:t>
      </w:r>
    </w:p>
    <w:p w14:paraId="0C41483E" w14:textId="77777777" w:rsidR="00710482" w:rsidRDefault="00710482" w:rsidP="00710482">
      <w:pPr>
        <w:numPr>
          <w:ilvl w:val="1"/>
          <w:numId w:val="5"/>
        </w:numPr>
        <w:pBdr>
          <w:top w:val="nil"/>
          <w:left w:val="nil"/>
          <w:bottom w:val="nil"/>
          <w:right w:val="nil"/>
          <w:between w:val="nil"/>
        </w:pBdr>
        <w:rPr>
          <w:rFonts w:ascii="Avenir Book" w:hAnsi="Avenir Book"/>
          <w:color w:val="000000"/>
          <w:sz w:val="22"/>
          <w:szCs w:val="22"/>
        </w:rPr>
      </w:pPr>
      <w:r>
        <w:rPr>
          <w:rFonts w:ascii="Avenir Book" w:hAnsi="Avenir Book"/>
          <w:color w:val="000000"/>
          <w:sz w:val="22"/>
          <w:szCs w:val="22"/>
        </w:rPr>
        <w:t>Do not feel that they passed the pregnancy</w:t>
      </w:r>
    </w:p>
    <w:p w14:paraId="6E4CC980" w14:textId="27C3108E" w:rsidR="00710482" w:rsidRPr="00710482" w:rsidRDefault="00710482" w:rsidP="001E6E81">
      <w:pPr>
        <w:numPr>
          <w:ilvl w:val="1"/>
          <w:numId w:val="5"/>
        </w:numPr>
        <w:pBdr>
          <w:top w:val="nil"/>
          <w:left w:val="nil"/>
          <w:bottom w:val="nil"/>
          <w:right w:val="nil"/>
          <w:between w:val="nil"/>
        </w:pBdr>
        <w:rPr>
          <w:rFonts w:ascii="Avenir Book" w:hAnsi="Avenir Book"/>
          <w:color w:val="000000"/>
          <w:sz w:val="22"/>
          <w:szCs w:val="22"/>
        </w:rPr>
      </w:pPr>
      <w:r>
        <w:rPr>
          <w:rFonts w:ascii="Avenir Book" w:hAnsi="Avenir Book"/>
          <w:color w:val="000000"/>
          <w:sz w:val="22"/>
          <w:szCs w:val="22"/>
        </w:rPr>
        <w:t>Pregnancy symptoms (nausea, breast/chest tenderness) are not resolving</w:t>
      </w:r>
      <w:r w:rsidRPr="00365B36">
        <w:rPr>
          <w:rFonts w:ascii="Avenir Book" w:hAnsi="Avenir Book"/>
          <w:color w:val="000000"/>
          <w:sz w:val="22"/>
          <w:szCs w:val="22"/>
        </w:rPr>
        <w:t xml:space="preserve"> </w:t>
      </w:r>
    </w:p>
    <w:p w14:paraId="5432B8E2" w14:textId="77777777" w:rsidR="00FF45CC" w:rsidRDefault="00FF45CC">
      <w:pPr>
        <w:widowControl w:val="0"/>
        <w:pBdr>
          <w:top w:val="nil"/>
          <w:left w:val="nil"/>
          <w:bottom w:val="nil"/>
          <w:right w:val="nil"/>
          <w:between w:val="nil"/>
        </w:pBdr>
        <w:ind w:left="720"/>
        <w:rPr>
          <w:color w:val="000000"/>
        </w:rPr>
      </w:pPr>
    </w:p>
    <w:p w14:paraId="26797759" w14:textId="0AF63D3A"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
          <w:bCs/>
          <w:color w:val="000000"/>
          <w:sz w:val="22"/>
          <w:szCs w:val="22"/>
        </w:rPr>
        <w:t>3.</w:t>
      </w:r>
      <w:r>
        <w:rPr>
          <w:rFonts w:ascii="Avenir" w:eastAsia="Avenir" w:hAnsi="Avenir" w:cs="Avenir"/>
          <w:color w:val="000000"/>
          <w:sz w:val="22"/>
          <w:szCs w:val="22"/>
        </w:rPr>
        <w:t xml:space="preserve"> </w:t>
      </w:r>
      <w:r>
        <w:rPr>
          <w:rFonts w:ascii="Avenir" w:eastAsia="Avenir" w:hAnsi="Avenir" w:cs="Avenir"/>
          <w:b/>
          <w:color w:val="000000"/>
          <w:sz w:val="22"/>
          <w:szCs w:val="22"/>
        </w:rPr>
        <w:t>Adherence to protocol:</w:t>
      </w:r>
      <w:r>
        <w:rPr>
          <w:rFonts w:ascii="Avenir" w:eastAsia="Avenir" w:hAnsi="Avenir" w:cs="Avenir"/>
          <w:color w:val="000000"/>
          <w:sz w:val="22"/>
          <w:szCs w:val="22"/>
        </w:rPr>
        <w:t xml:space="preserve"> Explain to the patient the process and the importance of finishing the medication abortion protocol.</w:t>
      </w:r>
      <w:r>
        <w:rPr>
          <w:rFonts w:ascii="Avenir" w:eastAsia="Avenir" w:hAnsi="Avenir" w:cs="Avenir"/>
          <w:b/>
          <w:color w:val="000000"/>
          <w:sz w:val="22"/>
          <w:szCs w:val="22"/>
        </w:rPr>
        <w:t xml:space="preserve"> </w:t>
      </w:r>
      <w:r w:rsidR="00710482">
        <w:rPr>
          <w:rFonts w:ascii="Avenir" w:eastAsia="Avenir" w:hAnsi="Avenir" w:cs="Avenir"/>
          <w:bCs/>
          <w:color w:val="000000"/>
          <w:sz w:val="22"/>
          <w:szCs w:val="22"/>
        </w:rPr>
        <w:t xml:space="preserve">If the abortion is unsuccessful, an aspiration abortion or repeat dosing of medications is recommended. </w:t>
      </w:r>
    </w:p>
    <w:p w14:paraId="1CE44F9A" w14:textId="77777777" w:rsidR="00AA770A" w:rsidRDefault="00AA770A">
      <w:pPr>
        <w:widowControl w:val="0"/>
        <w:pBdr>
          <w:top w:val="nil"/>
          <w:left w:val="nil"/>
          <w:bottom w:val="nil"/>
          <w:right w:val="nil"/>
          <w:between w:val="nil"/>
        </w:pBdr>
        <w:ind w:left="720"/>
        <w:rPr>
          <w:color w:val="000000"/>
        </w:rPr>
      </w:pPr>
    </w:p>
    <w:p w14:paraId="7DCE783F" w14:textId="77777777" w:rsidR="00AA770A" w:rsidRDefault="00000000">
      <w:pPr>
        <w:pStyle w:val="Heading2"/>
        <w:widowControl w:val="0"/>
      </w:pPr>
      <w:r>
        <w:rPr>
          <w:rFonts w:ascii="Avenir" w:eastAsia="Avenir" w:hAnsi="Avenir" w:cs="Avenir"/>
          <w:sz w:val="22"/>
          <w:szCs w:val="22"/>
        </w:rPr>
        <w:t>Compliance with State Requirements</w:t>
      </w:r>
    </w:p>
    <w:p w14:paraId="74E7F6A7" w14:textId="239790C5" w:rsidR="00AA770A" w:rsidRPr="001E6E81" w:rsidRDefault="00000000">
      <w:pPr>
        <w:widowControl w:val="0"/>
        <w:pBdr>
          <w:top w:val="nil"/>
          <w:left w:val="nil"/>
          <w:bottom w:val="nil"/>
          <w:right w:val="nil"/>
          <w:between w:val="nil"/>
        </w:pBdr>
        <w:rPr>
          <w:rFonts w:ascii="Avenir Book" w:hAnsi="Avenir Book"/>
        </w:rPr>
      </w:pPr>
      <w:r>
        <w:rPr>
          <w:rFonts w:ascii="Avenir" w:eastAsia="Avenir" w:hAnsi="Avenir" w:cs="Avenir"/>
          <w:color w:val="000000"/>
          <w:sz w:val="22"/>
          <w:szCs w:val="22"/>
        </w:rPr>
        <w:t xml:space="preserve">Many states have specific requirements affecting abortion. </w:t>
      </w:r>
      <w:r>
        <w:rPr>
          <w:rFonts w:ascii="Avenir" w:eastAsia="Avenir" w:hAnsi="Avenir" w:cs="Avenir"/>
          <w:sz w:val="22"/>
          <w:szCs w:val="22"/>
        </w:rPr>
        <w:t>Most of these laws apply both to medication and aspiration abortion.</w:t>
      </w:r>
      <w:r>
        <w:rPr>
          <w:rFonts w:ascii="Avenir" w:eastAsia="Avenir" w:hAnsi="Avenir" w:cs="Avenir"/>
          <w:b/>
          <w:sz w:val="22"/>
          <w:szCs w:val="22"/>
        </w:rPr>
        <w:t xml:space="preserve"> </w:t>
      </w:r>
      <w:r>
        <w:rPr>
          <w:rFonts w:ascii="Avenir" w:eastAsia="Avenir" w:hAnsi="Avenir" w:cs="Avenir"/>
          <w:sz w:val="22"/>
          <w:szCs w:val="22"/>
        </w:rPr>
        <w:t>S</w:t>
      </w:r>
      <w:r>
        <w:rPr>
          <w:rFonts w:ascii="Avenir" w:eastAsia="Avenir" w:hAnsi="Avenir" w:cs="Avenir"/>
          <w:color w:val="000000"/>
          <w:sz w:val="22"/>
          <w:szCs w:val="22"/>
        </w:rPr>
        <w:t xml:space="preserve">ome states </w:t>
      </w:r>
      <w:r>
        <w:rPr>
          <w:rFonts w:ascii="Avenir" w:eastAsia="Avenir" w:hAnsi="Avenir" w:cs="Avenir"/>
          <w:sz w:val="22"/>
          <w:szCs w:val="22"/>
        </w:rPr>
        <w:t xml:space="preserve">prohibit telehealth for abortion and mailing </w:t>
      </w:r>
      <w:r>
        <w:rPr>
          <w:rFonts w:ascii="Avenir" w:eastAsia="Avenir" w:hAnsi="Avenir" w:cs="Avenir"/>
          <w:sz w:val="22"/>
          <w:szCs w:val="22"/>
        </w:rPr>
        <w:lastRenderedPageBreak/>
        <w:t>the pills.</w:t>
      </w:r>
      <w:r>
        <w:rPr>
          <w:rFonts w:ascii="Avenir" w:eastAsia="Avenir" w:hAnsi="Avenir" w:cs="Avenir"/>
          <w:sz w:val="22"/>
          <w:szCs w:val="22"/>
          <w:vertAlign w:val="superscript"/>
        </w:rPr>
        <w:footnoteReference w:id="6"/>
      </w:r>
      <w:r>
        <w:rPr>
          <w:rFonts w:ascii="Avenir" w:eastAsia="Avenir" w:hAnsi="Avenir" w:cs="Avenir"/>
          <w:sz w:val="22"/>
          <w:szCs w:val="22"/>
        </w:rPr>
        <w:t xml:space="preserve"> </w:t>
      </w:r>
      <w:r w:rsidR="00AF573B">
        <w:rPr>
          <w:rFonts w:ascii="Avenir" w:eastAsia="Avenir" w:hAnsi="Avenir" w:cs="Avenir"/>
          <w:sz w:val="22"/>
          <w:szCs w:val="22"/>
        </w:rPr>
        <w:t xml:space="preserve">Some states have Shield Laws protecting clinicians who provide telehealth abortion to states with bans or restrictions. </w:t>
      </w:r>
      <w:r>
        <w:rPr>
          <w:rFonts w:ascii="Avenir" w:eastAsia="Avenir" w:hAnsi="Avenir" w:cs="Avenir"/>
          <w:color w:val="000000"/>
          <w:sz w:val="22"/>
          <w:szCs w:val="22"/>
        </w:rPr>
        <w:t xml:space="preserve">Providers must comply with mandatory waiting periods, parental notification, gestational age limits, </w:t>
      </w:r>
      <w:r w:rsidRPr="001E6E81">
        <w:rPr>
          <w:rFonts w:ascii="Avenir Book" w:eastAsia="Avenir" w:hAnsi="Avenir Book" w:cs="Avenir"/>
          <w:color w:val="000000"/>
          <w:sz w:val="22"/>
          <w:szCs w:val="22"/>
        </w:rPr>
        <w:t>and department of health reporting as required.</w:t>
      </w:r>
      <w:r w:rsidRPr="001E6E81">
        <w:rPr>
          <w:rFonts w:ascii="Avenir Book" w:eastAsia="Avenir" w:hAnsi="Avenir Book" w:cs="Avenir"/>
          <w:b/>
          <w:color w:val="000000"/>
          <w:sz w:val="22"/>
          <w:szCs w:val="22"/>
        </w:rPr>
        <w:t xml:space="preserve"> </w:t>
      </w:r>
      <w:r w:rsidRPr="001E6E81">
        <w:rPr>
          <w:rFonts w:ascii="Avenir Book" w:eastAsia="Avenir" w:hAnsi="Avenir Book" w:cs="Avenir"/>
          <w:color w:val="000000"/>
          <w:sz w:val="22"/>
          <w:szCs w:val="22"/>
        </w:rPr>
        <w:t>To find out more about</w:t>
      </w:r>
      <w:r w:rsidRPr="001E6E81">
        <w:rPr>
          <w:rFonts w:ascii="Avenir Book" w:eastAsia="Avenir" w:hAnsi="Avenir Book" w:cs="Avenir"/>
          <w:sz w:val="22"/>
          <w:szCs w:val="22"/>
        </w:rPr>
        <w:t xml:space="preserve"> </w:t>
      </w:r>
      <w:r w:rsidRPr="001E6E81">
        <w:rPr>
          <w:rFonts w:ascii="Avenir Book" w:eastAsia="Avenir" w:hAnsi="Avenir Book" w:cs="Avenir"/>
          <w:color w:val="000000"/>
          <w:sz w:val="22"/>
          <w:szCs w:val="22"/>
        </w:rPr>
        <w:t xml:space="preserve">regulations in your state, visit the </w:t>
      </w:r>
      <w:hyperlink r:id="rId10">
        <w:r w:rsidRPr="001E6E81">
          <w:rPr>
            <w:rFonts w:ascii="Avenir Book" w:eastAsia="Avenir" w:hAnsi="Avenir Book" w:cs="Avenir"/>
            <w:color w:val="1155CC"/>
            <w:sz w:val="22"/>
            <w:szCs w:val="22"/>
            <w:u w:val="single"/>
          </w:rPr>
          <w:t>Guttmacher Institute</w:t>
        </w:r>
      </w:hyperlink>
      <w:hyperlink r:id="rId11">
        <w:r w:rsidRPr="001E6E81">
          <w:rPr>
            <w:rFonts w:ascii="Avenir Book" w:eastAsia="Avenir" w:hAnsi="Avenir Book" w:cs="Avenir"/>
            <w:color w:val="1155CC"/>
            <w:sz w:val="22"/>
            <w:szCs w:val="22"/>
            <w:u w:val="single"/>
          </w:rPr>
          <w:t>’s website</w:t>
        </w:r>
      </w:hyperlink>
      <w:r w:rsidR="00AF573B" w:rsidRPr="001E6E81">
        <w:rPr>
          <w:rFonts w:ascii="Avenir Book" w:hAnsi="Avenir Book"/>
          <w:sz w:val="22"/>
          <w:szCs w:val="22"/>
        </w:rPr>
        <w:t xml:space="preserve">. For a map of state policies impacting the provision of telehealth abortion, </w:t>
      </w:r>
      <w:hyperlink r:id="rId12" w:history="1">
        <w:r w:rsidR="00AF573B" w:rsidRPr="001E6E81">
          <w:rPr>
            <w:rStyle w:val="Hyperlink"/>
            <w:rFonts w:ascii="Avenir Book" w:hAnsi="Avenir Book"/>
            <w:sz w:val="22"/>
            <w:szCs w:val="22"/>
          </w:rPr>
          <w:t>visit RHITES’ website</w:t>
        </w:r>
      </w:hyperlink>
      <w:r w:rsidR="00AF573B" w:rsidRPr="001E6E81">
        <w:rPr>
          <w:rFonts w:ascii="Avenir Book" w:hAnsi="Avenir Book"/>
          <w:sz w:val="22"/>
          <w:szCs w:val="22"/>
        </w:rPr>
        <w:t>.</w:t>
      </w:r>
    </w:p>
    <w:p w14:paraId="01EE68EC" w14:textId="77777777" w:rsidR="00AA770A" w:rsidRDefault="00AA770A">
      <w:pPr>
        <w:widowControl w:val="0"/>
        <w:pBdr>
          <w:top w:val="nil"/>
          <w:left w:val="nil"/>
          <w:bottom w:val="nil"/>
          <w:right w:val="nil"/>
          <w:between w:val="nil"/>
        </w:pBdr>
      </w:pPr>
    </w:p>
    <w:p w14:paraId="323BC9C7"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sz w:val="22"/>
          <w:szCs w:val="22"/>
        </w:rPr>
        <w:t xml:space="preserve">Medical History </w:t>
      </w:r>
    </w:p>
    <w:p w14:paraId="3AB898EF" w14:textId="77777777"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rPr>
        <w:t xml:space="preserve">1. Confirm </w:t>
      </w:r>
      <w:r>
        <w:rPr>
          <w:rFonts w:ascii="Avenir" w:eastAsia="Avenir" w:hAnsi="Avenir" w:cs="Avenir"/>
          <w:sz w:val="22"/>
          <w:szCs w:val="22"/>
        </w:rPr>
        <w:t>that the patient</w:t>
      </w:r>
      <w:r>
        <w:rPr>
          <w:rFonts w:ascii="Avenir" w:eastAsia="Avenir" w:hAnsi="Avenir" w:cs="Avenir"/>
          <w:color w:val="000000"/>
          <w:sz w:val="22"/>
          <w:szCs w:val="22"/>
        </w:rPr>
        <w:t xml:space="preserve"> has </w:t>
      </w:r>
      <w:r>
        <w:rPr>
          <w:rFonts w:ascii="Avenir" w:eastAsia="Avenir" w:hAnsi="Avenir" w:cs="Avenir"/>
          <w:sz w:val="22"/>
          <w:szCs w:val="22"/>
        </w:rPr>
        <w:t>had a positive</w:t>
      </w:r>
      <w:r>
        <w:rPr>
          <w:rFonts w:ascii="Avenir" w:eastAsia="Avenir" w:hAnsi="Avenir" w:cs="Avenir"/>
          <w:color w:val="000000"/>
          <w:sz w:val="22"/>
          <w:szCs w:val="22"/>
        </w:rPr>
        <w:t xml:space="preserve"> urine pregnancy test.</w:t>
      </w:r>
    </w:p>
    <w:p w14:paraId="56CFD7CC" w14:textId="77777777" w:rsidR="00AA770A" w:rsidRDefault="00AA770A">
      <w:pPr>
        <w:widowControl w:val="0"/>
        <w:pBdr>
          <w:top w:val="nil"/>
          <w:left w:val="nil"/>
          <w:bottom w:val="nil"/>
          <w:right w:val="nil"/>
          <w:between w:val="nil"/>
        </w:pBdr>
        <w:ind w:left="720"/>
        <w:rPr>
          <w:rFonts w:ascii="Avenir" w:eastAsia="Avenir" w:hAnsi="Avenir" w:cs="Avenir"/>
          <w:color w:val="000000"/>
          <w:sz w:val="22"/>
          <w:szCs w:val="22"/>
        </w:rPr>
      </w:pPr>
    </w:p>
    <w:p w14:paraId="7E96982E"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2. Rule out contraindications: </w:t>
      </w:r>
    </w:p>
    <w:p w14:paraId="72590C34" w14:textId="68850BE6"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IUD in place (may be removed by patient</w:t>
      </w:r>
      <w:r>
        <w:rPr>
          <w:rFonts w:eastAsia="Avenir"/>
          <w:vertAlign w:val="superscript"/>
        </w:rPr>
        <w:footnoteReference w:id="7"/>
      </w:r>
      <w:r w:rsidRPr="005F6496">
        <w:rPr>
          <w:rFonts w:ascii="Avenir" w:eastAsia="Avenir" w:hAnsi="Avenir" w:cs="Avenir"/>
          <w:color w:val="000000"/>
          <w:sz w:val="22"/>
          <w:szCs w:val="22"/>
        </w:rPr>
        <w:t xml:space="preserve"> or </w:t>
      </w:r>
      <w:r w:rsidR="005F6496">
        <w:rPr>
          <w:rFonts w:ascii="Avenir" w:eastAsia="Avenir" w:hAnsi="Avenir" w:cs="Avenir"/>
          <w:color w:val="000000"/>
          <w:sz w:val="22"/>
          <w:szCs w:val="22"/>
        </w:rPr>
        <w:t>clinician</w:t>
      </w:r>
      <w:r w:rsidRPr="005F6496">
        <w:rPr>
          <w:rFonts w:ascii="Avenir" w:eastAsia="Avenir" w:hAnsi="Avenir" w:cs="Avenir"/>
          <w:color w:val="000000"/>
          <w:sz w:val="22"/>
          <w:szCs w:val="22"/>
        </w:rPr>
        <w:t xml:space="preserve"> prior to abortion) </w:t>
      </w:r>
    </w:p>
    <w:p w14:paraId="5D360B85" w14:textId="35B19E78"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Allergy to prostaglandins or mifepristone</w:t>
      </w:r>
    </w:p>
    <w:p w14:paraId="7D64C50E" w14:textId="7A193A88"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Chronic adrenal failure</w:t>
      </w:r>
    </w:p>
    <w:p w14:paraId="1DE89ED4" w14:textId="34E7648D"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Long-term systemic corticosteroid therapy</w:t>
      </w:r>
    </w:p>
    <w:p w14:paraId="0021DE7F" w14:textId="2C09337D" w:rsidR="00AA770A" w:rsidRPr="001E6E81"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Hemorrhagic disorders</w:t>
      </w:r>
    </w:p>
    <w:p w14:paraId="452F77F2" w14:textId="08CAAE98" w:rsidR="00710482" w:rsidRPr="005F6496" w:rsidRDefault="00710482" w:rsidP="005F6496">
      <w:pPr>
        <w:pStyle w:val="ListParagraph"/>
        <w:widowControl w:val="0"/>
        <w:numPr>
          <w:ilvl w:val="0"/>
          <w:numId w:val="3"/>
        </w:numPr>
        <w:pBdr>
          <w:top w:val="nil"/>
          <w:left w:val="nil"/>
          <w:bottom w:val="nil"/>
          <w:right w:val="nil"/>
          <w:between w:val="nil"/>
        </w:pBdr>
        <w:tabs>
          <w:tab w:val="left" w:pos="-1440"/>
        </w:tabs>
        <w:rPr>
          <w:color w:val="000000"/>
        </w:rPr>
      </w:pPr>
      <w:r>
        <w:rPr>
          <w:rFonts w:ascii="Avenir" w:eastAsia="Avenir" w:hAnsi="Avenir" w:cs="Avenir"/>
          <w:color w:val="000000"/>
          <w:sz w:val="22"/>
          <w:szCs w:val="22"/>
        </w:rPr>
        <w:t>Ectopic pregnancy</w:t>
      </w:r>
    </w:p>
    <w:p w14:paraId="2E615972" w14:textId="78091A13"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Concurrent anticoagulant therapy (excluding aspirin, which</w:t>
      </w:r>
      <w:r w:rsidRPr="005F6496">
        <w:rPr>
          <w:rFonts w:ascii="Avenir" w:eastAsia="Avenir" w:hAnsi="Avenir" w:cs="Avenir"/>
          <w:sz w:val="22"/>
          <w:szCs w:val="22"/>
        </w:rPr>
        <w:t xml:space="preserve"> is OK</w:t>
      </w:r>
      <w:r w:rsidRPr="005F6496">
        <w:rPr>
          <w:rFonts w:ascii="Avenir" w:eastAsia="Avenir" w:hAnsi="Avenir" w:cs="Avenir"/>
          <w:color w:val="000000"/>
          <w:sz w:val="22"/>
          <w:szCs w:val="22"/>
        </w:rPr>
        <w:t>)</w:t>
      </w:r>
    </w:p>
    <w:p w14:paraId="67B143CE" w14:textId="77777777" w:rsidR="00AA770A" w:rsidRDefault="00AA770A">
      <w:pPr>
        <w:widowControl w:val="0"/>
        <w:pBdr>
          <w:top w:val="nil"/>
          <w:left w:val="nil"/>
          <w:bottom w:val="nil"/>
          <w:right w:val="nil"/>
          <w:between w:val="nil"/>
        </w:pBdr>
        <w:ind w:left="720"/>
        <w:rPr>
          <w:color w:val="000000"/>
        </w:rPr>
      </w:pPr>
    </w:p>
    <w:p w14:paraId="16831273"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3. </w:t>
      </w:r>
      <w:r>
        <w:rPr>
          <w:rFonts w:ascii="Avenir" w:eastAsia="Avenir" w:hAnsi="Avenir" w:cs="Avenir"/>
          <w:sz w:val="22"/>
          <w:szCs w:val="22"/>
        </w:rPr>
        <w:t xml:space="preserve">Patients should have instructions for contacting a clinician for questions/concerns. </w:t>
      </w:r>
    </w:p>
    <w:p w14:paraId="3D678CBC"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 </w:t>
      </w:r>
    </w:p>
    <w:p w14:paraId="488EE2A9" w14:textId="63957D7A" w:rsidR="00AA770A" w:rsidRDefault="00000000">
      <w:pPr>
        <w:widowControl w:val="0"/>
        <w:pBdr>
          <w:top w:val="nil"/>
          <w:left w:val="nil"/>
          <w:bottom w:val="nil"/>
          <w:right w:val="nil"/>
          <w:between w:val="nil"/>
        </w:pBdr>
        <w:ind w:left="720"/>
        <w:rPr>
          <w:rFonts w:ascii="Avenir" w:eastAsia="Avenir" w:hAnsi="Avenir" w:cs="Avenir"/>
          <w:sz w:val="22"/>
          <w:szCs w:val="22"/>
        </w:rPr>
      </w:pPr>
      <w:r>
        <w:rPr>
          <w:rFonts w:ascii="Avenir" w:eastAsia="Avenir" w:hAnsi="Avenir" w:cs="Avenir"/>
          <w:color w:val="000000"/>
          <w:sz w:val="22"/>
          <w:szCs w:val="22"/>
        </w:rPr>
        <w:t xml:space="preserve">4. Obtain </w:t>
      </w:r>
      <w:r w:rsidR="00156D68">
        <w:rPr>
          <w:rFonts w:ascii="Avenir" w:eastAsia="Avenir" w:hAnsi="Avenir" w:cs="Avenir"/>
          <w:color w:val="000000"/>
          <w:sz w:val="22"/>
          <w:szCs w:val="22"/>
        </w:rPr>
        <w:t>LMP.</w:t>
      </w:r>
      <w:r>
        <w:rPr>
          <w:rFonts w:ascii="Avenir" w:eastAsia="Avenir" w:hAnsi="Avenir" w:cs="Avenir"/>
          <w:color w:val="000000"/>
          <w:sz w:val="22"/>
          <w:szCs w:val="22"/>
        </w:rPr>
        <w:t xml:space="preserve"> If patient is uncertain about LMP, has irregular menstrual cycles, or clinician is concerned about ectopic pregnancy (risk factors include history of previous ectopic pregnancy, vaginal bleeding since LMP, adnexal pain, IUD in place, history of tubal surgery, and history of treatment for PID), an ultrasound will need to be obtained. Ultrasound examination should also be performed if the LMP places the pregnancy at &gt;1</w:t>
      </w:r>
      <w:r w:rsidR="00663865">
        <w:rPr>
          <w:rFonts w:ascii="Avenir" w:eastAsia="Avenir" w:hAnsi="Avenir" w:cs="Avenir"/>
          <w:color w:val="000000"/>
          <w:sz w:val="22"/>
          <w:szCs w:val="22"/>
        </w:rPr>
        <w:t>2</w:t>
      </w:r>
      <w:r>
        <w:rPr>
          <w:rFonts w:ascii="Avenir" w:eastAsia="Avenir" w:hAnsi="Avenir" w:cs="Avenir"/>
          <w:color w:val="000000"/>
          <w:sz w:val="22"/>
          <w:szCs w:val="22"/>
        </w:rPr>
        <w:t xml:space="preserve"> weeks (</w:t>
      </w:r>
      <w:r w:rsidR="00663865">
        <w:rPr>
          <w:rFonts w:ascii="Avenir" w:eastAsia="Avenir" w:hAnsi="Avenir" w:cs="Avenir"/>
          <w:color w:val="000000"/>
          <w:sz w:val="22"/>
          <w:szCs w:val="22"/>
        </w:rPr>
        <w:t xml:space="preserve">84 </w:t>
      </w:r>
      <w:r>
        <w:rPr>
          <w:rFonts w:ascii="Avenir" w:eastAsia="Avenir" w:hAnsi="Avenir" w:cs="Avenir"/>
          <w:color w:val="000000"/>
          <w:sz w:val="22"/>
          <w:szCs w:val="22"/>
        </w:rPr>
        <w:t>days). If ultrasound is not indicated,</w:t>
      </w:r>
      <w:r w:rsidR="005F6496">
        <w:rPr>
          <w:rFonts w:ascii="Avenir" w:eastAsia="Avenir" w:hAnsi="Avenir" w:cs="Avenir"/>
          <w:color w:val="000000"/>
          <w:sz w:val="22"/>
          <w:szCs w:val="22"/>
        </w:rPr>
        <w:t xml:space="preserve"> </w:t>
      </w:r>
      <w:r>
        <w:rPr>
          <w:rFonts w:ascii="Avenir" w:eastAsia="Avenir" w:hAnsi="Avenir" w:cs="Avenir"/>
          <w:color w:val="000000"/>
          <w:sz w:val="22"/>
          <w:szCs w:val="22"/>
        </w:rPr>
        <w:t>gestational dating should be done by LMP.</w:t>
      </w:r>
      <w:r>
        <w:rPr>
          <w:rFonts w:ascii="Avenir" w:eastAsia="Avenir" w:hAnsi="Avenir" w:cs="Avenir"/>
          <w:color w:val="000000"/>
          <w:sz w:val="22"/>
          <w:szCs w:val="22"/>
          <w:vertAlign w:val="superscript"/>
        </w:rPr>
        <w:footnoteReference w:id="8"/>
      </w:r>
      <w:r>
        <w:rPr>
          <w:rFonts w:ascii="Avenir" w:eastAsia="Avenir" w:hAnsi="Avenir" w:cs="Avenir"/>
          <w:color w:val="000000"/>
          <w:sz w:val="22"/>
          <w:szCs w:val="22"/>
          <w:vertAlign w:val="superscript"/>
        </w:rPr>
        <w:t>,</w:t>
      </w:r>
      <w:r>
        <w:rPr>
          <w:rFonts w:ascii="Avenir" w:eastAsia="Avenir" w:hAnsi="Avenir" w:cs="Avenir"/>
          <w:color w:val="000000"/>
          <w:sz w:val="22"/>
          <w:szCs w:val="22"/>
          <w:vertAlign w:val="superscript"/>
        </w:rPr>
        <w:footnoteReference w:id="9"/>
      </w:r>
      <w:r>
        <w:rPr>
          <w:rFonts w:ascii="Avenir" w:eastAsia="Avenir" w:hAnsi="Avenir" w:cs="Avenir"/>
          <w:color w:val="000000"/>
          <w:sz w:val="22"/>
          <w:szCs w:val="22"/>
          <w:vertAlign w:val="superscript"/>
        </w:rPr>
        <w:t>,</w:t>
      </w:r>
      <w:r>
        <w:rPr>
          <w:rFonts w:ascii="Avenir" w:eastAsia="Avenir" w:hAnsi="Avenir" w:cs="Avenir"/>
          <w:color w:val="000000"/>
          <w:sz w:val="22"/>
          <w:szCs w:val="22"/>
          <w:vertAlign w:val="superscript"/>
        </w:rPr>
        <w:footnoteReference w:id="10"/>
      </w:r>
    </w:p>
    <w:p w14:paraId="2C9A497C" w14:textId="77777777" w:rsidR="00AA770A" w:rsidRDefault="00AA770A">
      <w:pPr>
        <w:widowControl w:val="0"/>
        <w:pBdr>
          <w:top w:val="nil"/>
          <w:left w:val="nil"/>
          <w:bottom w:val="nil"/>
          <w:right w:val="nil"/>
          <w:between w:val="nil"/>
        </w:pBdr>
        <w:ind w:left="720"/>
        <w:rPr>
          <w:rFonts w:ascii="Avenir" w:eastAsia="Avenir" w:hAnsi="Avenir" w:cs="Avenir"/>
          <w:sz w:val="22"/>
          <w:szCs w:val="22"/>
        </w:rPr>
      </w:pPr>
    </w:p>
    <w:p w14:paraId="3601D697" w14:textId="665B46F3"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sz w:val="22"/>
          <w:szCs w:val="22"/>
        </w:rPr>
        <w:t xml:space="preserve">5. Testing for Rh status can be considered if the patient’s status is unknown, however the evidence supporting this practice is minimal. Based on current practice guidelines, it is reasonable to forgo this testing up to </w:t>
      </w:r>
      <w:r w:rsidR="00663865">
        <w:rPr>
          <w:rFonts w:ascii="Avenir" w:eastAsia="Avenir" w:hAnsi="Avenir" w:cs="Avenir"/>
          <w:sz w:val="22"/>
          <w:szCs w:val="22"/>
        </w:rPr>
        <w:t xml:space="preserve">84 </w:t>
      </w:r>
      <w:r>
        <w:rPr>
          <w:rFonts w:ascii="Avenir" w:eastAsia="Avenir" w:hAnsi="Avenir" w:cs="Avenir"/>
          <w:sz w:val="22"/>
          <w:szCs w:val="22"/>
        </w:rPr>
        <w:t>days LMP. Institutional policies may vary and it is important to be familiar with the standards for your practice setting.</w:t>
      </w:r>
      <w:r w:rsidR="00663865" w:rsidRPr="004B4793">
        <w:rPr>
          <w:rFonts w:ascii="Avenir" w:eastAsia="Avenir" w:hAnsi="Avenir" w:cs="Avenir"/>
          <w:sz w:val="22"/>
          <w:szCs w:val="22"/>
          <w:vertAlign w:val="superscript"/>
        </w:rPr>
        <w:t>2</w:t>
      </w:r>
      <w:r>
        <w:rPr>
          <w:rFonts w:ascii="Avenir" w:eastAsia="Avenir" w:hAnsi="Avenir" w:cs="Avenir"/>
          <w:color w:val="000000"/>
          <w:sz w:val="22"/>
          <w:szCs w:val="22"/>
        </w:rPr>
        <w:t xml:space="preserve"> </w:t>
      </w:r>
    </w:p>
    <w:p w14:paraId="7F922FB3" w14:textId="77777777" w:rsidR="00AA770A" w:rsidRDefault="00AA770A">
      <w:pPr>
        <w:widowControl w:val="0"/>
        <w:pBdr>
          <w:top w:val="nil"/>
          <w:left w:val="nil"/>
          <w:bottom w:val="nil"/>
          <w:right w:val="nil"/>
          <w:between w:val="nil"/>
        </w:pBdr>
        <w:rPr>
          <w:color w:val="000000"/>
        </w:rPr>
      </w:pPr>
    </w:p>
    <w:p w14:paraId="263CE5DB" w14:textId="77777777" w:rsidR="00AA770A" w:rsidRDefault="00000000">
      <w:pPr>
        <w:widowControl w:val="0"/>
        <w:pBdr>
          <w:top w:val="nil"/>
          <w:left w:val="nil"/>
          <w:bottom w:val="nil"/>
          <w:right w:val="nil"/>
          <w:between w:val="nil"/>
        </w:pBdr>
        <w:rPr>
          <w:rFonts w:ascii="Avenir" w:eastAsia="Avenir" w:hAnsi="Avenir" w:cs="Avenir"/>
          <w:color w:val="000000"/>
          <w:sz w:val="22"/>
          <w:szCs w:val="22"/>
        </w:rPr>
      </w:pPr>
      <w:r>
        <w:rPr>
          <w:rFonts w:ascii="Avenir" w:eastAsia="Avenir" w:hAnsi="Avenir" w:cs="Avenir"/>
          <w:b/>
          <w:color w:val="000000"/>
          <w:sz w:val="22"/>
          <w:szCs w:val="22"/>
        </w:rPr>
        <w:t>Review the required provider/patient agreement and the consent form.</w:t>
      </w:r>
      <w:r>
        <w:rPr>
          <w:rFonts w:ascii="Avenir" w:eastAsia="Avenir" w:hAnsi="Avenir" w:cs="Avenir"/>
          <w:color w:val="000000"/>
          <w:sz w:val="22"/>
          <w:szCs w:val="22"/>
        </w:rPr>
        <w:t xml:space="preserve"> </w:t>
      </w:r>
    </w:p>
    <w:p w14:paraId="17498E7D" w14:textId="250DBFCA" w:rsidR="00AA770A" w:rsidRDefault="00000000" w:rsidP="001E6E81">
      <w:pPr>
        <w:widowControl w:val="0"/>
        <w:pBdr>
          <w:top w:val="nil"/>
          <w:left w:val="nil"/>
          <w:bottom w:val="nil"/>
          <w:right w:val="nil"/>
          <w:between w:val="nil"/>
        </w:pBdr>
        <w:ind w:firstLine="720"/>
        <w:rPr>
          <w:color w:val="000000"/>
        </w:rPr>
      </w:pPr>
      <w:r>
        <w:rPr>
          <w:rFonts w:ascii="Avenir" w:eastAsia="Avenir" w:hAnsi="Avenir" w:cs="Avenir"/>
          <w:color w:val="000000"/>
          <w:sz w:val="22"/>
          <w:szCs w:val="22"/>
        </w:rPr>
        <w:lastRenderedPageBreak/>
        <w:t xml:space="preserve">This can be done </w:t>
      </w:r>
      <w:r w:rsidR="00AF573B">
        <w:rPr>
          <w:rFonts w:ascii="Avenir" w:eastAsia="Avenir" w:hAnsi="Avenir" w:cs="Avenir"/>
          <w:color w:val="000000"/>
          <w:sz w:val="22"/>
          <w:szCs w:val="22"/>
        </w:rPr>
        <w:t xml:space="preserve">electronically </w:t>
      </w:r>
      <w:r>
        <w:rPr>
          <w:rFonts w:ascii="Avenir" w:eastAsia="Avenir" w:hAnsi="Avenir" w:cs="Avenir"/>
          <w:color w:val="000000"/>
          <w:sz w:val="22"/>
          <w:szCs w:val="22"/>
        </w:rPr>
        <w:t xml:space="preserve">by </w:t>
      </w:r>
      <w:r w:rsidR="00AF573B">
        <w:rPr>
          <w:rFonts w:ascii="Avenir" w:eastAsia="Avenir" w:hAnsi="Avenir" w:cs="Avenir"/>
          <w:color w:val="000000"/>
          <w:sz w:val="22"/>
          <w:szCs w:val="22"/>
        </w:rPr>
        <w:t>securely emailing or texting t</w:t>
      </w:r>
      <w:r>
        <w:rPr>
          <w:rFonts w:ascii="Avenir" w:eastAsia="Avenir" w:hAnsi="Avenir" w:cs="Avenir"/>
          <w:color w:val="000000"/>
          <w:sz w:val="22"/>
          <w:szCs w:val="22"/>
        </w:rPr>
        <w:t xml:space="preserve">he patient the </w:t>
      </w:r>
      <w:r w:rsidR="00AF573B">
        <w:rPr>
          <w:rFonts w:ascii="Avenir" w:eastAsia="Avenir" w:hAnsi="Avenir" w:cs="Avenir"/>
          <w:color w:val="000000"/>
          <w:sz w:val="22"/>
          <w:szCs w:val="22"/>
        </w:rPr>
        <w:t xml:space="preserve">required </w:t>
      </w:r>
      <w:r>
        <w:rPr>
          <w:rFonts w:ascii="Avenir" w:eastAsia="Avenir" w:hAnsi="Avenir" w:cs="Avenir"/>
          <w:color w:val="000000"/>
          <w:sz w:val="22"/>
          <w:szCs w:val="22"/>
        </w:rPr>
        <w:t xml:space="preserve">forms. </w:t>
      </w:r>
    </w:p>
    <w:p w14:paraId="7BEC1584" w14:textId="77777777" w:rsidR="00AA770A" w:rsidRDefault="00AA770A">
      <w:pPr>
        <w:widowControl w:val="0"/>
        <w:pBdr>
          <w:top w:val="nil"/>
          <w:left w:val="nil"/>
          <w:bottom w:val="nil"/>
          <w:right w:val="nil"/>
          <w:between w:val="nil"/>
        </w:pBdr>
        <w:ind w:left="720"/>
        <w:rPr>
          <w:color w:val="000000"/>
        </w:rPr>
      </w:pPr>
    </w:p>
    <w:p w14:paraId="2B026D6E" w14:textId="07DDDF75" w:rsidR="00AA770A" w:rsidRDefault="00000000">
      <w:pPr>
        <w:widowControl w:val="0"/>
        <w:pBdr>
          <w:top w:val="nil"/>
          <w:left w:val="nil"/>
          <w:bottom w:val="nil"/>
          <w:right w:val="nil"/>
          <w:between w:val="nil"/>
        </w:pBdr>
        <w:rPr>
          <w:rFonts w:ascii="Avenir" w:eastAsia="Avenir" w:hAnsi="Avenir" w:cs="Avenir"/>
          <w:b/>
          <w:color w:val="000000"/>
          <w:sz w:val="22"/>
          <w:szCs w:val="22"/>
        </w:rPr>
      </w:pPr>
      <w:r>
        <w:rPr>
          <w:rFonts w:ascii="Avenir" w:eastAsia="Avenir" w:hAnsi="Avenir" w:cs="Avenir"/>
          <w:b/>
          <w:color w:val="000000"/>
          <w:sz w:val="22"/>
          <w:szCs w:val="22"/>
        </w:rPr>
        <w:t xml:space="preserve">Determine if the patient </w:t>
      </w:r>
      <w:r>
        <w:rPr>
          <w:rFonts w:ascii="Avenir" w:eastAsia="Avenir" w:hAnsi="Avenir" w:cs="Avenir"/>
          <w:b/>
          <w:sz w:val="22"/>
          <w:szCs w:val="22"/>
        </w:rPr>
        <w:t>would like the pills mailed or picked up</w:t>
      </w:r>
      <w:r w:rsidR="00FF45CC">
        <w:rPr>
          <w:rFonts w:ascii="Avenir" w:eastAsia="Avenir" w:hAnsi="Avenir" w:cs="Avenir"/>
          <w:b/>
          <w:sz w:val="22"/>
          <w:szCs w:val="22"/>
        </w:rPr>
        <w:t xml:space="preserve"> in-clinic or at a certified pharmacy</w:t>
      </w:r>
      <w:r>
        <w:rPr>
          <w:rFonts w:ascii="Avenir" w:eastAsia="Avenir" w:hAnsi="Avenir" w:cs="Avenir"/>
          <w:b/>
          <w:sz w:val="22"/>
          <w:szCs w:val="22"/>
        </w:rPr>
        <w:t>.</w:t>
      </w:r>
    </w:p>
    <w:p w14:paraId="2CE1390D" w14:textId="1B8363F4"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Cs/>
          <w:color w:val="000000"/>
          <w:sz w:val="22"/>
          <w:szCs w:val="22"/>
        </w:rPr>
        <w:t>If mailing is an option:</w:t>
      </w:r>
      <w:r>
        <w:rPr>
          <w:rFonts w:ascii="Avenir" w:eastAsia="Avenir" w:hAnsi="Avenir" w:cs="Avenir"/>
          <w:b/>
          <w:color w:val="000000"/>
          <w:sz w:val="22"/>
          <w:szCs w:val="22"/>
        </w:rPr>
        <w:t xml:space="preserve"> </w:t>
      </w:r>
      <w:r>
        <w:rPr>
          <w:rFonts w:ascii="Avenir" w:eastAsia="Avenir" w:hAnsi="Avenir" w:cs="Avenir"/>
          <w:color w:val="000000"/>
          <w:sz w:val="22"/>
          <w:szCs w:val="22"/>
        </w:rPr>
        <w:t>the mifepristone 200-</w:t>
      </w:r>
      <w:r w:rsidR="00156D68">
        <w:rPr>
          <w:rFonts w:ascii="Avenir" w:eastAsia="Avenir" w:hAnsi="Avenir" w:cs="Avenir"/>
          <w:color w:val="000000"/>
          <w:sz w:val="22"/>
          <w:szCs w:val="22"/>
        </w:rPr>
        <w:t xml:space="preserve">mg </w:t>
      </w:r>
      <w:r>
        <w:rPr>
          <w:rFonts w:ascii="Avenir" w:eastAsia="Avenir" w:hAnsi="Avenir" w:cs="Avenir"/>
          <w:color w:val="000000"/>
          <w:sz w:val="22"/>
          <w:szCs w:val="22"/>
        </w:rPr>
        <w:t xml:space="preserve">tablet and 4 to 8 </w:t>
      </w:r>
      <w:r w:rsidR="00710482">
        <w:rPr>
          <w:rFonts w:ascii="Avenir" w:eastAsia="Avenir" w:hAnsi="Avenir" w:cs="Avenir"/>
          <w:color w:val="000000"/>
          <w:sz w:val="22"/>
          <w:szCs w:val="22"/>
        </w:rPr>
        <w:t xml:space="preserve">200 mcg </w:t>
      </w:r>
      <w:r>
        <w:rPr>
          <w:rFonts w:ascii="Avenir" w:eastAsia="Avenir" w:hAnsi="Avenir" w:cs="Avenir"/>
          <w:color w:val="000000"/>
          <w:sz w:val="22"/>
          <w:szCs w:val="22"/>
        </w:rPr>
        <w:t xml:space="preserve">tablets </w:t>
      </w:r>
      <w:r w:rsidR="00710482">
        <w:rPr>
          <w:rFonts w:ascii="Avenir" w:eastAsia="Avenir" w:hAnsi="Avenir" w:cs="Avenir"/>
          <w:color w:val="000000"/>
          <w:sz w:val="22"/>
          <w:szCs w:val="22"/>
        </w:rPr>
        <w:t xml:space="preserve">(1-2 doses) </w:t>
      </w:r>
      <w:r>
        <w:rPr>
          <w:rFonts w:ascii="Avenir" w:eastAsia="Avenir" w:hAnsi="Avenir" w:cs="Avenir"/>
          <w:color w:val="000000"/>
          <w:sz w:val="22"/>
          <w:szCs w:val="22"/>
        </w:rPr>
        <w:t xml:space="preserve">of misoprostol should be put into envelopes and mailed to the patient’s home or preferred address. If possible, a urine pregnancy test for </w:t>
      </w:r>
      <w:r>
        <w:rPr>
          <w:rFonts w:ascii="Avenir" w:eastAsia="Avenir" w:hAnsi="Avenir" w:cs="Avenir"/>
          <w:sz w:val="22"/>
          <w:szCs w:val="22"/>
        </w:rPr>
        <w:t>the patient to assess abortion completion</w:t>
      </w:r>
      <w:r>
        <w:rPr>
          <w:rFonts w:ascii="Avenir" w:eastAsia="Avenir" w:hAnsi="Avenir" w:cs="Avenir"/>
          <w:color w:val="000000"/>
          <w:sz w:val="22"/>
          <w:szCs w:val="22"/>
        </w:rPr>
        <w:t xml:space="preserve"> should be mailed as well, with the </w:t>
      </w:r>
      <w:r>
        <w:rPr>
          <w:rFonts w:ascii="Avenir" w:eastAsia="Avenir" w:hAnsi="Avenir" w:cs="Avenir"/>
          <w:sz w:val="22"/>
          <w:szCs w:val="22"/>
        </w:rPr>
        <w:t>aftercare</w:t>
      </w:r>
      <w:r>
        <w:rPr>
          <w:rFonts w:ascii="Avenir" w:eastAsia="Avenir" w:hAnsi="Avenir" w:cs="Avenir"/>
          <w:color w:val="000000"/>
          <w:sz w:val="22"/>
          <w:szCs w:val="22"/>
        </w:rPr>
        <w:t xml:space="preserve"> instructions and a copy of the consent</w:t>
      </w:r>
      <w:r>
        <w:rPr>
          <w:rFonts w:ascii="Avenir" w:eastAsia="Avenir" w:hAnsi="Avenir" w:cs="Avenir"/>
          <w:sz w:val="22"/>
          <w:szCs w:val="22"/>
        </w:rPr>
        <w:t xml:space="preserve"> form.</w:t>
      </w:r>
    </w:p>
    <w:p w14:paraId="575664F0" w14:textId="77777777" w:rsidR="00AA770A" w:rsidRDefault="00AA770A">
      <w:pPr>
        <w:widowControl w:val="0"/>
        <w:pBdr>
          <w:top w:val="nil"/>
          <w:left w:val="nil"/>
          <w:bottom w:val="nil"/>
          <w:right w:val="nil"/>
          <w:between w:val="nil"/>
        </w:pBdr>
        <w:rPr>
          <w:rFonts w:ascii="Avenir" w:eastAsia="Avenir" w:hAnsi="Avenir" w:cs="Avenir"/>
          <w:b/>
          <w:sz w:val="22"/>
          <w:szCs w:val="22"/>
        </w:rPr>
      </w:pPr>
    </w:p>
    <w:p w14:paraId="286B3463" w14:textId="45A1C4CD" w:rsidR="00AA770A" w:rsidRDefault="00156D68">
      <w:pPr>
        <w:widowControl w:val="0"/>
        <w:pBdr>
          <w:top w:val="nil"/>
          <w:left w:val="nil"/>
          <w:bottom w:val="nil"/>
          <w:right w:val="nil"/>
          <w:between w:val="nil"/>
        </w:pBdr>
        <w:rPr>
          <w:rFonts w:ascii="Avenir" w:eastAsia="Avenir" w:hAnsi="Avenir" w:cs="Avenir"/>
          <w:b/>
          <w:sz w:val="22"/>
          <w:szCs w:val="22"/>
        </w:rPr>
      </w:pPr>
      <w:r>
        <w:rPr>
          <w:rFonts w:ascii="Avenir" w:eastAsia="Avenir" w:hAnsi="Avenir" w:cs="Avenir"/>
          <w:b/>
          <w:sz w:val="22"/>
          <w:szCs w:val="22"/>
        </w:rPr>
        <w:t>Give directions for misoprostol administration:</w:t>
      </w:r>
    </w:p>
    <w:p w14:paraId="3DE695F5" w14:textId="45E2AD29"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u w:val="single"/>
        </w:rPr>
        <w:t>Buccal administration:</w:t>
      </w:r>
      <w:r>
        <w:rPr>
          <w:rFonts w:ascii="Avenir" w:eastAsia="Avenir" w:hAnsi="Avenir" w:cs="Avenir"/>
          <w:color w:val="000000"/>
          <w:sz w:val="22"/>
          <w:szCs w:val="22"/>
        </w:rPr>
        <w:t xml:space="preserve"> The patient will </w:t>
      </w:r>
      <w:r w:rsidR="00156D68">
        <w:rPr>
          <w:rFonts w:ascii="Avenir" w:eastAsia="Avenir" w:hAnsi="Avenir" w:cs="Avenir"/>
          <w:color w:val="000000"/>
          <w:sz w:val="22"/>
          <w:szCs w:val="22"/>
        </w:rPr>
        <w:t xml:space="preserve">hold two misoprostol pills in each cheek or four misoprostol pills under their tongue for 30 minutes, then swallow any remaining fragments </w:t>
      </w:r>
      <w:r>
        <w:rPr>
          <w:rFonts w:ascii="Avenir" w:eastAsia="Avenir" w:hAnsi="Avenir" w:cs="Avenir"/>
          <w:color w:val="000000"/>
          <w:sz w:val="22"/>
          <w:szCs w:val="22"/>
        </w:rPr>
        <w:t>with a drink, at a convenient time 24-48 hours after taking mifepristone.</w:t>
      </w:r>
      <w:r>
        <w:rPr>
          <w:rFonts w:ascii="Avenir" w:eastAsia="Avenir" w:hAnsi="Avenir" w:cs="Avenir"/>
          <w:color w:val="000000"/>
          <w:sz w:val="22"/>
          <w:szCs w:val="22"/>
          <w:vertAlign w:val="superscript"/>
        </w:rPr>
        <w:footnoteReference w:id="11"/>
      </w:r>
      <w:r>
        <w:rPr>
          <w:rFonts w:ascii="Avenir" w:eastAsia="Avenir" w:hAnsi="Avenir" w:cs="Avenir"/>
          <w:color w:val="000000"/>
          <w:sz w:val="22"/>
          <w:szCs w:val="22"/>
        </w:rPr>
        <w:t xml:space="preserve"> </w:t>
      </w:r>
    </w:p>
    <w:p w14:paraId="00909CBD" w14:textId="77777777" w:rsidR="005F6496" w:rsidRDefault="005F6496">
      <w:pPr>
        <w:widowControl w:val="0"/>
        <w:pBdr>
          <w:top w:val="nil"/>
          <w:left w:val="nil"/>
          <w:bottom w:val="nil"/>
          <w:right w:val="nil"/>
          <w:between w:val="nil"/>
        </w:pBdr>
        <w:ind w:left="720"/>
        <w:rPr>
          <w:rFonts w:ascii="Avenir" w:eastAsia="Avenir" w:hAnsi="Avenir" w:cs="Avenir"/>
          <w:color w:val="000000"/>
          <w:sz w:val="22"/>
          <w:szCs w:val="22"/>
          <w:u w:val="single"/>
        </w:rPr>
      </w:pPr>
    </w:p>
    <w:p w14:paraId="5213A64E" w14:textId="0FFB1285"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u w:val="single"/>
        </w:rPr>
        <w:t>Vaginal administration:</w:t>
      </w:r>
      <w:r>
        <w:rPr>
          <w:rFonts w:ascii="Avenir" w:eastAsia="Avenir" w:hAnsi="Avenir" w:cs="Avenir"/>
          <w:color w:val="000000"/>
          <w:sz w:val="22"/>
          <w:szCs w:val="22"/>
        </w:rPr>
        <w:t xml:space="preserve"> The patient will </w:t>
      </w:r>
      <w:r w:rsidR="00156D68">
        <w:rPr>
          <w:rFonts w:ascii="Avenir" w:eastAsia="Avenir" w:hAnsi="Avenir" w:cs="Avenir"/>
          <w:color w:val="000000"/>
          <w:sz w:val="22"/>
          <w:szCs w:val="22"/>
        </w:rPr>
        <w:t xml:space="preserve">lie down and insert </w:t>
      </w:r>
      <w:r>
        <w:rPr>
          <w:rFonts w:ascii="Avenir" w:eastAsia="Avenir" w:hAnsi="Avenir" w:cs="Avenir"/>
          <w:color w:val="000000"/>
          <w:sz w:val="22"/>
          <w:szCs w:val="22"/>
        </w:rPr>
        <w:t xml:space="preserve">four misoprostol </w:t>
      </w:r>
      <w:r w:rsidR="00156D68">
        <w:rPr>
          <w:rFonts w:ascii="Avenir" w:eastAsia="Avenir" w:hAnsi="Avenir" w:cs="Avenir"/>
          <w:color w:val="000000"/>
          <w:sz w:val="22"/>
          <w:szCs w:val="22"/>
        </w:rPr>
        <w:t xml:space="preserve">pills </w:t>
      </w:r>
      <w:r>
        <w:rPr>
          <w:rFonts w:ascii="Avenir" w:eastAsia="Avenir" w:hAnsi="Avenir" w:cs="Avenir"/>
          <w:color w:val="000000"/>
          <w:sz w:val="22"/>
          <w:szCs w:val="22"/>
        </w:rPr>
        <w:t>in the vagina 6</w:t>
      </w:r>
      <w:r>
        <w:rPr>
          <w:rFonts w:ascii="Avenir" w:eastAsia="Avenir" w:hAnsi="Avenir" w:cs="Avenir"/>
          <w:sz w:val="22"/>
          <w:szCs w:val="22"/>
        </w:rPr>
        <w:t>-</w:t>
      </w:r>
      <w:r>
        <w:rPr>
          <w:rFonts w:ascii="Avenir" w:eastAsia="Avenir" w:hAnsi="Avenir" w:cs="Avenir"/>
          <w:color w:val="000000"/>
          <w:sz w:val="22"/>
          <w:szCs w:val="22"/>
        </w:rPr>
        <w:t>72 hours after taking the mifepristone. The patient will then lie down for 30 minutes. If the tablets fall out after 30 minutes, they can be discarded.</w:t>
      </w:r>
      <w:r>
        <w:rPr>
          <w:rFonts w:ascii="Avenir" w:eastAsia="Avenir" w:hAnsi="Avenir" w:cs="Avenir"/>
          <w:color w:val="000000"/>
          <w:sz w:val="22"/>
          <w:szCs w:val="22"/>
          <w:vertAlign w:val="superscript"/>
        </w:rPr>
        <w:footnoteReference w:id="12"/>
      </w:r>
      <w:r>
        <w:rPr>
          <w:rFonts w:ascii="Avenir" w:eastAsia="Avenir" w:hAnsi="Avenir" w:cs="Avenir"/>
          <w:color w:val="000000"/>
          <w:sz w:val="22"/>
          <w:szCs w:val="22"/>
        </w:rPr>
        <w:t xml:space="preserve"> </w:t>
      </w:r>
    </w:p>
    <w:p w14:paraId="6363F44E" w14:textId="77777777" w:rsidR="00AA770A" w:rsidRDefault="00AA770A" w:rsidP="001E6E81">
      <w:pPr>
        <w:widowControl w:val="0"/>
        <w:pBdr>
          <w:top w:val="nil"/>
          <w:left w:val="nil"/>
          <w:bottom w:val="nil"/>
          <w:right w:val="nil"/>
          <w:between w:val="nil"/>
        </w:pBdr>
        <w:rPr>
          <w:rFonts w:ascii="Avenir" w:eastAsia="Avenir" w:hAnsi="Avenir" w:cs="Avenir"/>
          <w:color w:val="000000"/>
          <w:sz w:val="22"/>
          <w:szCs w:val="22"/>
        </w:rPr>
      </w:pPr>
    </w:p>
    <w:p w14:paraId="0CA03599" w14:textId="56BDD2C9"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rPr>
        <w:t xml:space="preserve">If </w:t>
      </w:r>
      <w:r>
        <w:rPr>
          <w:rFonts w:ascii="Avenir" w:eastAsia="Avenir" w:hAnsi="Avenir" w:cs="Avenir"/>
          <w:sz w:val="22"/>
          <w:szCs w:val="22"/>
        </w:rPr>
        <w:t>gestational age</w:t>
      </w:r>
      <w:r>
        <w:rPr>
          <w:rFonts w:ascii="Avenir" w:eastAsia="Avenir" w:hAnsi="Avenir" w:cs="Avenir"/>
          <w:color w:val="000000"/>
          <w:sz w:val="22"/>
          <w:szCs w:val="22"/>
        </w:rPr>
        <w:t xml:space="preserve"> is 63-</w:t>
      </w:r>
      <w:r w:rsidR="00663865">
        <w:rPr>
          <w:rFonts w:ascii="Avenir" w:eastAsia="Avenir" w:hAnsi="Avenir" w:cs="Avenir"/>
          <w:color w:val="000000"/>
          <w:sz w:val="22"/>
          <w:szCs w:val="22"/>
        </w:rPr>
        <w:t xml:space="preserve">84 </w:t>
      </w:r>
      <w:r>
        <w:rPr>
          <w:rFonts w:ascii="Avenir" w:eastAsia="Avenir" w:hAnsi="Avenir" w:cs="Avenir"/>
          <w:color w:val="000000"/>
          <w:sz w:val="22"/>
          <w:szCs w:val="22"/>
        </w:rPr>
        <w:t xml:space="preserve">days, a second dose of misoprostol is recommended to increase efficacy. This should be </w:t>
      </w:r>
      <w:r>
        <w:rPr>
          <w:rFonts w:ascii="Avenir" w:eastAsia="Avenir" w:hAnsi="Avenir" w:cs="Avenir"/>
          <w:sz w:val="22"/>
          <w:szCs w:val="22"/>
        </w:rPr>
        <w:t>taken</w:t>
      </w:r>
      <w:r>
        <w:rPr>
          <w:rFonts w:ascii="Avenir" w:eastAsia="Avenir" w:hAnsi="Avenir" w:cs="Avenir"/>
          <w:color w:val="000000"/>
          <w:sz w:val="22"/>
          <w:szCs w:val="22"/>
        </w:rPr>
        <w:t xml:space="preserve"> four hours </w:t>
      </w:r>
      <w:r>
        <w:rPr>
          <w:rFonts w:ascii="Avenir" w:eastAsia="Avenir" w:hAnsi="Avenir" w:cs="Avenir"/>
          <w:sz w:val="22"/>
          <w:szCs w:val="22"/>
        </w:rPr>
        <w:t>after the first</w:t>
      </w:r>
      <w:r>
        <w:rPr>
          <w:rFonts w:ascii="Avenir" w:eastAsia="Avenir" w:hAnsi="Avenir" w:cs="Avenir"/>
          <w:color w:val="000000"/>
          <w:sz w:val="22"/>
          <w:szCs w:val="22"/>
        </w:rPr>
        <w:t xml:space="preserve"> dose of misoprostol.</w:t>
      </w:r>
    </w:p>
    <w:p w14:paraId="75CDC633" w14:textId="013687DA" w:rsidR="005F6496" w:rsidRDefault="00000000">
      <w:pPr>
        <w:widowControl w:val="0"/>
        <w:pBdr>
          <w:top w:val="nil"/>
          <w:left w:val="nil"/>
          <w:bottom w:val="nil"/>
          <w:right w:val="nil"/>
          <w:between w:val="nil"/>
        </w:pBdr>
        <w:rPr>
          <w:rFonts w:ascii="Avenir" w:eastAsia="Avenir" w:hAnsi="Avenir" w:cs="Avenir"/>
          <w:b/>
          <w:color w:val="000000"/>
          <w:sz w:val="22"/>
          <w:szCs w:val="22"/>
        </w:rPr>
      </w:pPr>
      <w:r>
        <w:rPr>
          <w:rFonts w:ascii="Avenir" w:eastAsia="Avenir" w:hAnsi="Avenir" w:cs="Avenir"/>
          <w:color w:val="000000"/>
          <w:sz w:val="22"/>
          <w:szCs w:val="22"/>
        </w:rPr>
        <w:t xml:space="preserve"> </w:t>
      </w:r>
    </w:p>
    <w:p w14:paraId="606D947D" w14:textId="77777777" w:rsidR="00156D68" w:rsidRDefault="00156D68" w:rsidP="00156D68">
      <w:pPr>
        <w:rPr>
          <w:rFonts w:ascii="Avenir" w:eastAsia="Avenir" w:hAnsi="Avenir" w:cs="Avenir"/>
          <w:b/>
          <w:sz w:val="22"/>
          <w:szCs w:val="22"/>
        </w:rPr>
      </w:pPr>
      <w:r w:rsidRPr="00975161">
        <w:rPr>
          <w:rFonts w:ascii="Avenir" w:eastAsia="Avenir" w:hAnsi="Avenir" w:cs="Avenir"/>
          <w:b/>
          <w:sz w:val="22"/>
          <w:szCs w:val="22"/>
        </w:rPr>
        <w:t>Advise patients in hostile environments</w:t>
      </w:r>
      <w:r>
        <w:rPr>
          <w:rFonts w:ascii="Avenir" w:eastAsia="Avenir" w:hAnsi="Avenir" w:cs="Avenir"/>
          <w:b/>
          <w:sz w:val="22"/>
          <w:szCs w:val="22"/>
        </w:rPr>
        <w:t xml:space="preserve">: </w:t>
      </w:r>
    </w:p>
    <w:p w14:paraId="30DAC049" w14:textId="53B1A0AB" w:rsidR="00156D68" w:rsidRPr="001E6E81" w:rsidRDefault="00156D68" w:rsidP="001E6E81">
      <w:pPr>
        <w:ind w:left="720"/>
        <w:rPr>
          <w:rFonts w:ascii="Avenir" w:eastAsia="Avenir" w:hAnsi="Avenir" w:cs="Avenir"/>
          <w:sz w:val="22"/>
          <w:szCs w:val="22"/>
        </w:rPr>
      </w:pPr>
      <w:r>
        <w:rPr>
          <w:rFonts w:ascii="Avenir" w:eastAsia="Avenir" w:hAnsi="Avenir" w:cs="Avenir"/>
          <w:sz w:val="22"/>
          <w:szCs w:val="22"/>
        </w:rPr>
        <w:t xml:space="preserve">Patients in hostile environments (i.e. anti-abortion states, near Catholic hospitals, etc.) or </w:t>
      </w:r>
      <w:r w:rsidRPr="001E6E81">
        <w:rPr>
          <w:rFonts w:ascii="Avenir" w:eastAsia="Avenir" w:hAnsi="Avenir" w:cs="Avenir"/>
          <w:b/>
          <w:bCs/>
          <w:sz w:val="22"/>
          <w:szCs w:val="22"/>
        </w:rPr>
        <w:t>who are concerned about privacy</w:t>
      </w:r>
      <w:r>
        <w:rPr>
          <w:rFonts w:ascii="Avenir" w:eastAsia="Avenir" w:hAnsi="Avenir" w:cs="Avenir"/>
          <w:sz w:val="22"/>
          <w:szCs w:val="22"/>
        </w:rPr>
        <w:t xml:space="preserve"> should consider using misoprostol buccally or sublingually to avoid having pill fragments in the vagina in the rare instance that they need an in-person follow-up exam. </w:t>
      </w:r>
    </w:p>
    <w:p w14:paraId="09C14E27" w14:textId="77777777" w:rsidR="00156D68" w:rsidRDefault="00156D68">
      <w:pPr>
        <w:widowControl w:val="0"/>
        <w:pBdr>
          <w:top w:val="nil"/>
          <w:left w:val="nil"/>
          <w:bottom w:val="nil"/>
          <w:right w:val="nil"/>
          <w:between w:val="nil"/>
        </w:pBdr>
        <w:rPr>
          <w:rFonts w:ascii="Avenir" w:eastAsia="Avenir" w:hAnsi="Avenir" w:cs="Avenir"/>
          <w:b/>
          <w:color w:val="000000"/>
          <w:sz w:val="22"/>
          <w:szCs w:val="22"/>
        </w:rPr>
      </w:pPr>
    </w:p>
    <w:p w14:paraId="35B7158E" w14:textId="22A998D6" w:rsidR="00156D68" w:rsidRDefault="00000000">
      <w:pPr>
        <w:widowControl w:val="0"/>
        <w:pBdr>
          <w:top w:val="nil"/>
          <w:left w:val="nil"/>
          <w:bottom w:val="nil"/>
          <w:right w:val="nil"/>
          <w:between w:val="nil"/>
        </w:pBdr>
        <w:rPr>
          <w:rFonts w:ascii="Avenir" w:eastAsia="Avenir" w:hAnsi="Avenir" w:cs="Avenir"/>
          <w:color w:val="000000"/>
          <w:sz w:val="22"/>
          <w:szCs w:val="22"/>
        </w:rPr>
      </w:pPr>
      <w:r>
        <w:rPr>
          <w:rFonts w:ascii="Avenir" w:eastAsia="Avenir" w:hAnsi="Avenir" w:cs="Avenir"/>
          <w:b/>
          <w:color w:val="000000"/>
          <w:sz w:val="22"/>
          <w:szCs w:val="22"/>
        </w:rPr>
        <w:t xml:space="preserve">Advise patient on use of </w:t>
      </w:r>
      <w:r w:rsidR="00156D68">
        <w:rPr>
          <w:rFonts w:ascii="Avenir" w:eastAsia="Avenir" w:hAnsi="Avenir" w:cs="Avenir"/>
          <w:b/>
          <w:color w:val="000000"/>
          <w:sz w:val="22"/>
          <w:szCs w:val="22"/>
        </w:rPr>
        <w:t xml:space="preserve">supportive </w:t>
      </w:r>
      <w:r>
        <w:rPr>
          <w:rFonts w:ascii="Avenir" w:eastAsia="Avenir" w:hAnsi="Avenir" w:cs="Avenir"/>
          <w:b/>
          <w:color w:val="000000"/>
          <w:sz w:val="22"/>
          <w:szCs w:val="22"/>
        </w:rPr>
        <w:t>medications</w:t>
      </w:r>
      <w:r>
        <w:rPr>
          <w:rFonts w:ascii="Avenir" w:eastAsia="Avenir" w:hAnsi="Avenir" w:cs="Avenir"/>
          <w:color w:val="000000"/>
          <w:sz w:val="22"/>
          <w:szCs w:val="22"/>
        </w:rPr>
        <w:t xml:space="preserve">: </w:t>
      </w:r>
    </w:p>
    <w:p w14:paraId="086D51C1" w14:textId="442BBF27" w:rsidR="00156D68" w:rsidRDefault="00156D68" w:rsidP="00156D68">
      <w:pPr>
        <w:widowControl w:val="0"/>
        <w:pBdr>
          <w:top w:val="nil"/>
          <w:left w:val="nil"/>
          <w:bottom w:val="nil"/>
          <w:right w:val="nil"/>
          <w:between w:val="nil"/>
        </w:pBdr>
        <w:ind w:left="720"/>
        <w:rPr>
          <w:color w:val="000000"/>
        </w:rPr>
      </w:pPr>
      <w:r>
        <w:rPr>
          <w:rFonts w:ascii="Avenir" w:eastAsia="Avenir" w:hAnsi="Avenir" w:cs="Avenir"/>
          <w:sz w:val="22"/>
          <w:szCs w:val="22"/>
        </w:rPr>
        <w:t>Nonsteroidal anti-inflammatory drugs (NSAIDs) can be used 30 minutes before the first dose of misoprostol to manage uterine pain</w:t>
      </w:r>
      <w:sdt>
        <w:sdtPr>
          <w:tag w:val="goog_rdk_3"/>
          <w:id w:val="-386029916"/>
        </w:sdtPr>
        <w:sdtContent/>
      </w:sdt>
      <w:r>
        <w:rPr>
          <w:rFonts w:ascii="Avenir" w:eastAsia="Avenir" w:hAnsi="Avenir" w:cs="Avenir"/>
          <w:sz w:val="22"/>
          <w:szCs w:val="22"/>
        </w:rPr>
        <w:t>. Prescriptions for ibuprofen 800 mg and/or acetaminophen should be offered to the patient. Offering anti-emetics, such as ondansetron or meclizine, may also be considered. Patients should be encouraged to fill the prescription/s in advance and to have the medications on hand to be taken as needed.</w:t>
      </w:r>
      <w:r>
        <w:rPr>
          <w:rStyle w:val="FootnoteReference"/>
          <w:color w:val="000000"/>
        </w:rPr>
        <w:footnoteReference w:id="13"/>
      </w:r>
    </w:p>
    <w:p w14:paraId="7EB48045" w14:textId="77777777" w:rsidR="00AA770A" w:rsidRDefault="00AA770A">
      <w:pPr>
        <w:widowControl w:val="0"/>
        <w:pBdr>
          <w:top w:val="nil"/>
          <w:left w:val="nil"/>
          <w:bottom w:val="nil"/>
          <w:right w:val="nil"/>
          <w:between w:val="nil"/>
        </w:pBdr>
        <w:ind w:left="720"/>
        <w:rPr>
          <w:color w:val="000000"/>
        </w:rPr>
      </w:pPr>
    </w:p>
    <w:p w14:paraId="6DA9D3D2" w14:textId="77777777" w:rsidR="00AA770A" w:rsidRDefault="00000000">
      <w:pPr>
        <w:widowControl w:val="0"/>
        <w:pBdr>
          <w:top w:val="nil"/>
          <w:left w:val="nil"/>
          <w:bottom w:val="nil"/>
          <w:right w:val="nil"/>
          <w:between w:val="nil"/>
        </w:pBdr>
        <w:rPr>
          <w:rFonts w:ascii="Avenir" w:eastAsia="Avenir" w:hAnsi="Avenir" w:cs="Avenir"/>
          <w:color w:val="000000"/>
          <w:sz w:val="22"/>
          <w:szCs w:val="22"/>
        </w:rPr>
      </w:pPr>
      <w:r>
        <w:rPr>
          <w:rFonts w:ascii="Avenir" w:eastAsia="Avenir" w:hAnsi="Avenir" w:cs="Avenir"/>
          <w:b/>
          <w:color w:val="000000"/>
          <w:sz w:val="22"/>
          <w:szCs w:val="22"/>
        </w:rPr>
        <w:lastRenderedPageBreak/>
        <w:t xml:space="preserve">Make </w:t>
      </w:r>
      <w:r>
        <w:rPr>
          <w:rFonts w:ascii="Avenir" w:eastAsia="Avenir" w:hAnsi="Avenir" w:cs="Avenir"/>
          <w:b/>
          <w:sz w:val="22"/>
          <w:szCs w:val="22"/>
        </w:rPr>
        <w:t>sure the patient</w:t>
      </w:r>
      <w:r>
        <w:rPr>
          <w:rFonts w:ascii="Avenir" w:eastAsia="Avenir" w:hAnsi="Avenir" w:cs="Avenir"/>
          <w:b/>
          <w:color w:val="000000"/>
          <w:sz w:val="22"/>
          <w:szCs w:val="22"/>
        </w:rPr>
        <w:t xml:space="preserve"> knows how to </w:t>
      </w:r>
      <w:r>
        <w:rPr>
          <w:rFonts w:ascii="Avenir" w:eastAsia="Avenir" w:hAnsi="Avenir" w:cs="Avenir"/>
          <w:b/>
          <w:sz w:val="22"/>
          <w:szCs w:val="22"/>
        </w:rPr>
        <w:t>reach the clinician</w:t>
      </w:r>
      <w:r>
        <w:rPr>
          <w:rFonts w:ascii="Avenir" w:eastAsia="Avenir" w:hAnsi="Avenir" w:cs="Avenir"/>
          <w:b/>
          <w:color w:val="000000"/>
          <w:sz w:val="22"/>
          <w:szCs w:val="22"/>
        </w:rPr>
        <w:t xml:space="preserve"> on-call</w:t>
      </w:r>
      <w:r>
        <w:rPr>
          <w:rFonts w:ascii="Avenir" w:eastAsia="Avenir" w:hAnsi="Avenir" w:cs="Avenir"/>
          <w:color w:val="000000"/>
          <w:sz w:val="22"/>
          <w:szCs w:val="22"/>
        </w:rPr>
        <w:t xml:space="preserve">. </w:t>
      </w:r>
    </w:p>
    <w:p w14:paraId="78F35C06" w14:textId="21B7D5BE" w:rsidR="00AA770A" w:rsidRDefault="00000000">
      <w:pPr>
        <w:widowControl w:val="0"/>
        <w:pBdr>
          <w:top w:val="nil"/>
          <w:left w:val="nil"/>
          <w:bottom w:val="nil"/>
          <w:right w:val="nil"/>
          <w:between w:val="nil"/>
        </w:pBdr>
        <w:ind w:left="720"/>
        <w:rPr>
          <w:rFonts w:ascii="Avenir" w:eastAsia="Avenir" w:hAnsi="Avenir" w:cs="Avenir"/>
          <w:sz w:val="22"/>
          <w:szCs w:val="22"/>
        </w:rPr>
      </w:pPr>
      <w:r>
        <w:rPr>
          <w:rFonts w:ascii="Avenir" w:eastAsia="Avenir" w:hAnsi="Avenir" w:cs="Avenir"/>
          <w:color w:val="000000"/>
          <w:sz w:val="22"/>
          <w:szCs w:val="22"/>
        </w:rPr>
        <w:t xml:space="preserve">An information sheet with instructions about how to call the </w:t>
      </w:r>
      <w:r w:rsidR="00156D68">
        <w:rPr>
          <w:rFonts w:ascii="Avenir" w:eastAsia="Avenir" w:hAnsi="Avenir" w:cs="Avenir"/>
          <w:color w:val="000000"/>
          <w:sz w:val="22"/>
          <w:szCs w:val="22"/>
        </w:rPr>
        <w:t xml:space="preserve">clinician or office </w:t>
      </w:r>
      <w:r>
        <w:rPr>
          <w:rFonts w:ascii="Avenir" w:eastAsia="Avenir" w:hAnsi="Avenir" w:cs="Avenir"/>
          <w:color w:val="000000"/>
          <w:sz w:val="22"/>
          <w:szCs w:val="22"/>
        </w:rPr>
        <w:t>should be sent to each patient, and the information should be reviewed during the counseling to be sure they understand.</w:t>
      </w:r>
      <w:r w:rsidR="009368AC">
        <w:rPr>
          <w:rFonts w:ascii="Avenir" w:eastAsia="Avenir" w:hAnsi="Avenir" w:cs="Avenir"/>
          <w:color w:val="000000"/>
          <w:sz w:val="22"/>
          <w:szCs w:val="22"/>
        </w:rPr>
        <w:t xml:space="preserve"> </w:t>
      </w:r>
    </w:p>
    <w:p w14:paraId="2B1E3862" w14:textId="77777777" w:rsidR="00AA770A" w:rsidRDefault="00AA770A">
      <w:pPr>
        <w:widowControl w:val="0"/>
        <w:pBdr>
          <w:top w:val="nil"/>
          <w:left w:val="nil"/>
          <w:bottom w:val="nil"/>
          <w:right w:val="nil"/>
          <w:between w:val="nil"/>
        </w:pBdr>
        <w:rPr>
          <w:rFonts w:ascii="Avenir" w:eastAsia="Avenir" w:hAnsi="Avenir" w:cs="Avenir"/>
          <w:b/>
          <w:sz w:val="22"/>
          <w:szCs w:val="22"/>
        </w:rPr>
      </w:pPr>
    </w:p>
    <w:p w14:paraId="4165D826" w14:textId="77777777" w:rsidR="00AA770A" w:rsidRDefault="00000000">
      <w:pPr>
        <w:widowControl w:val="0"/>
        <w:pBdr>
          <w:top w:val="nil"/>
          <w:left w:val="nil"/>
          <w:bottom w:val="nil"/>
          <w:right w:val="nil"/>
          <w:between w:val="nil"/>
        </w:pBdr>
        <w:rPr>
          <w:rFonts w:ascii="Avenir" w:eastAsia="Avenir" w:hAnsi="Avenir" w:cs="Avenir"/>
          <w:b/>
          <w:sz w:val="22"/>
          <w:szCs w:val="22"/>
        </w:rPr>
      </w:pPr>
      <w:r>
        <w:rPr>
          <w:rFonts w:ascii="Avenir" w:eastAsia="Avenir" w:hAnsi="Avenir" w:cs="Avenir"/>
          <w:b/>
          <w:sz w:val="22"/>
          <w:szCs w:val="22"/>
        </w:rPr>
        <w:t>Follow-up is optional.</w:t>
      </w:r>
    </w:p>
    <w:p w14:paraId="6476B127" w14:textId="77777777" w:rsidR="00AA770A" w:rsidRDefault="00000000">
      <w:pPr>
        <w:widowControl w:val="0"/>
        <w:pBdr>
          <w:top w:val="nil"/>
          <w:left w:val="nil"/>
          <w:bottom w:val="nil"/>
          <w:right w:val="nil"/>
          <w:between w:val="nil"/>
        </w:pBdr>
        <w:ind w:left="720"/>
        <w:rPr>
          <w:rFonts w:ascii="Avenir" w:eastAsia="Avenir" w:hAnsi="Avenir" w:cs="Avenir"/>
          <w:sz w:val="22"/>
          <w:szCs w:val="22"/>
        </w:rPr>
      </w:pPr>
      <w:r>
        <w:rPr>
          <w:rFonts w:ascii="Avenir" w:eastAsia="Avenir" w:hAnsi="Avenir" w:cs="Avenir"/>
          <w:sz w:val="22"/>
          <w:szCs w:val="22"/>
        </w:rPr>
        <w:t xml:space="preserve">To assess the completeness of the abortion, clinicians may use any of the following criteria: </w:t>
      </w:r>
    </w:p>
    <w:p w14:paraId="387711BD"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history (patient’s description of bleeding - which should be at least as much as their menses – with cramping and passage of clots accompanied by resolution of any pregnancy symptoms); or</w:t>
      </w:r>
    </w:p>
    <w:p w14:paraId="4AF06111"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 xml:space="preserve">declining serum </w:t>
      </w:r>
      <w:proofErr w:type="spellStart"/>
      <w:r>
        <w:rPr>
          <w:rFonts w:ascii="Avenir" w:eastAsia="Avenir" w:hAnsi="Avenir" w:cs="Avenir"/>
          <w:sz w:val="22"/>
          <w:szCs w:val="22"/>
        </w:rPr>
        <w:t>bhCG</w:t>
      </w:r>
      <w:proofErr w:type="spellEnd"/>
      <w:r>
        <w:rPr>
          <w:rFonts w:ascii="Avenir" w:eastAsia="Avenir" w:hAnsi="Avenir" w:cs="Avenir"/>
          <w:sz w:val="22"/>
          <w:szCs w:val="22"/>
        </w:rPr>
        <w:t xml:space="preserve"> levels (by more than 80% at one week after the bleeding); or </w:t>
      </w:r>
    </w:p>
    <w:p w14:paraId="02C8A81D"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ultrasound; or</w:t>
      </w:r>
    </w:p>
    <w:p w14:paraId="66E61954"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negative home pregnancy test 4 weeks after mifepristone.</w:t>
      </w:r>
      <w:r>
        <w:rPr>
          <w:rFonts w:ascii="Avenir" w:eastAsia="Avenir" w:hAnsi="Avenir" w:cs="Avenir"/>
          <w:sz w:val="22"/>
          <w:szCs w:val="22"/>
          <w:vertAlign w:val="superscript"/>
        </w:rPr>
        <w:footnoteReference w:id="14"/>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5"/>
      </w:r>
      <w:r>
        <w:rPr>
          <w:rFonts w:ascii="Avenir" w:eastAsia="Avenir" w:hAnsi="Avenir" w:cs="Avenir"/>
          <w:sz w:val="22"/>
          <w:szCs w:val="22"/>
        </w:rPr>
        <w:t xml:space="preserve"> </w:t>
      </w:r>
    </w:p>
    <w:p w14:paraId="24669F95" w14:textId="77777777" w:rsidR="00AA770A" w:rsidRDefault="00AA770A">
      <w:pPr>
        <w:widowControl w:val="0"/>
        <w:pBdr>
          <w:top w:val="nil"/>
          <w:left w:val="nil"/>
          <w:bottom w:val="nil"/>
          <w:right w:val="nil"/>
          <w:between w:val="nil"/>
        </w:pBdr>
        <w:rPr>
          <w:rFonts w:ascii="Avenir" w:eastAsia="Avenir" w:hAnsi="Avenir" w:cs="Avenir"/>
          <w:sz w:val="22"/>
          <w:szCs w:val="22"/>
        </w:rPr>
      </w:pPr>
    </w:p>
    <w:p w14:paraId="1004EF79" w14:textId="269236C6" w:rsidR="00AA770A" w:rsidRDefault="00000000" w:rsidP="009368AC">
      <w:pPr>
        <w:widowControl w:val="0"/>
        <w:pBdr>
          <w:top w:val="nil"/>
          <w:left w:val="nil"/>
          <w:bottom w:val="nil"/>
          <w:right w:val="nil"/>
          <w:between w:val="nil"/>
        </w:pBdr>
        <w:ind w:left="720"/>
        <w:rPr>
          <w:color w:val="000000"/>
        </w:rPr>
      </w:pPr>
      <w:r>
        <w:rPr>
          <w:rFonts w:ascii="Avenir" w:eastAsia="Avenir" w:hAnsi="Avenir" w:cs="Avenir"/>
          <w:sz w:val="22"/>
          <w:szCs w:val="22"/>
        </w:rPr>
        <w:t xml:space="preserve">If an at-home pregnancy test is still positive after 4 weeks after taking mifepristone, a repeat pregnancy test should be performed in office. If pregnancy is ongoing, i.e. a rising </w:t>
      </w:r>
      <w:proofErr w:type="spellStart"/>
      <w:r>
        <w:rPr>
          <w:rFonts w:ascii="Avenir" w:eastAsia="Avenir" w:hAnsi="Avenir" w:cs="Avenir"/>
          <w:sz w:val="22"/>
          <w:szCs w:val="22"/>
        </w:rPr>
        <w:t>bhCG</w:t>
      </w:r>
      <w:proofErr w:type="spellEnd"/>
      <w:r>
        <w:rPr>
          <w:rFonts w:ascii="Avenir" w:eastAsia="Avenir" w:hAnsi="Avenir" w:cs="Avenir"/>
          <w:sz w:val="22"/>
          <w:szCs w:val="22"/>
        </w:rPr>
        <w:t xml:space="preserve"> or an ultrasound with a growing pregnancy, an aspiration procedure can be performed. If the abortion is incomplete (i.e. an ultrasound showing no interval growth and no fetal cardiac activity, but with retained tissue and continued bleeding), the patient can choose a repeat dose of misoprostol or an aspiration procedure. If the pregnancy was being followed by quant </w:t>
      </w:r>
      <w:proofErr w:type="spellStart"/>
      <w:r>
        <w:rPr>
          <w:rFonts w:ascii="Avenir" w:eastAsia="Avenir" w:hAnsi="Avenir" w:cs="Avenir"/>
          <w:sz w:val="22"/>
          <w:szCs w:val="22"/>
        </w:rPr>
        <w:t>hCGs</w:t>
      </w:r>
      <w:proofErr w:type="spellEnd"/>
      <w:r>
        <w:rPr>
          <w:rFonts w:ascii="Avenir" w:eastAsia="Avenir" w:hAnsi="Avenir" w:cs="Avenir"/>
          <w:sz w:val="22"/>
          <w:szCs w:val="22"/>
        </w:rPr>
        <w:t xml:space="preserve"> and levels did not fall as expected, an urgent ultrasound should be obtained to assess for failed abortion vs ectopic pregnancy. </w:t>
      </w:r>
      <w:r w:rsidR="009368AC">
        <w:rPr>
          <w:rFonts w:ascii="Avenir" w:eastAsia="Avenir" w:hAnsi="Avenir" w:cs="Avenir"/>
          <w:color w:val="000000"/>
          <w:sz w:val="22"/>
          <w:szCs w:val="22"/>
        </w:rPr>
        <w:t xml:space="preserve">Patients should be instructed to call or come into the office if bleeding persists beyond 4 weeks or becomes heavy again. </w:t>
      </w:r>
    </w:p>
    <w:p w14:paraId="2863AE5B" w14:textId="77777777" w:rsidR="00AA770A" w:rsidRDefault="00AA770A">
      <w:pPr>
        <w:widowControl w:val="0"/>
        <w:pBdr>
          <w:top w:val="nil"/>
          <w:left w:val="nil"/>
          <w:bottom w:val="nil"/>
          <w:right w:val="nil"/>
          <w:between w:val="nil"/>
        </w:pBdr>
        <w:rPr>
          <w:color w:val="000000"/>
        </w:rPr>
      </w:pPr>
    </w:p>
    <w:p w14:paraId="132491C8" w14:textId="35089895" w:rsidR="00AA770A" w:rsidRDefault="00156D68">
      <w:pPr>
        <w:widowControl w:val="0"/>
        <w:pBdr>
          <w:top w:val="nil"/>
          <w:left w:val="nil"/>
          <w:bottom w:val="nil"/>
          <w:right w:val="nil"/>
          <w:between w:val="nil"/>
        </w:pBdr>
        <w:rPr>
          <w:rFonts w:ascii="Avenir" w:eastAsia="Avenir" w:hAnsi="Avenir" w:cs="Avenir"/>
          <w:color w:val="000000"/>
          <w:sz w:val="22"/>
          <w:szCs w:val="22"/>
        </w:rPr>
      </w:pPr>
      <w:bookmarkStart w:id="0" w:name="_heading=h.gjdgxs" w:colFirst="0" w:colLast="0"/>
      <w:bookmarkEnd w:id="0"/>
      <w:r>
        <w:rPr>
          <w:rFonts w:ascii="Avenir" w:eastAsia="Avenir" w:hAnsi="Avenir" w:cs="Avenir"/>
          <w:b/>
          <w:color w:val="000000"/>
          <w:sz w:val="22"/>
          <w:szCs w:val="22"/>
        </w:rPr>
        <w:t>Offer post-abortion contraception, if desired:</w:t>
      </w:r>
      <w:r>
        <w:rPr>
          <w:rFonts w:ascii="Avenir" w:eastAsia="Avenir" w:hAnsi="Avenir" w:cs="Avenir"/>
          <w:color w:val="000000"/>
          <w:sz w:val="22"/>
          <w:szCs w:val="22"/>
        </w:rPr>
        <w:t xml:space="preserve"> </w:t>
      </w:r>
    </w:p>
    <w:p w14:paraId="07BFFDCA" w14:textId="43FDD2CD" w:rsidR="00AA770A" w:rsidRDefault="00000000">
      <w:pPr>
        <w:widowControl w:val="0"/>
        <w:pBdr>
          <w:top w:val="nil"/>
          <w:left w:val="nil"/>
          <w:bottom w:val="nil"/>
          <w:right w:val="nil"/>
          <w:between w:val="nil"/>
        </w:pBdr>
        <w:ind w:left="720"/>
        <w:rPr>
          <w:color w:val="000000"/>
        </w:rPr>
      </w:pPr>
      <w:bookmarkStart w:id="1" w:name="_heading=h.ydn7anqispo1" w:colFirst="0" w:colLast="0"/>
      <w:bookmarkStart w:id="2" w:name="_heading=h.gqhui8u1r3x7" w:colFirst="0" w:colLast="0"/>
      <w:bookmarkEnd w:id="1"/>
      <w:bookmarkEnd w:id="2"/>
      <w:r>
        <w:rPr>
          <w:rFonts w:ascii="Avenir" w:eastAsia="Avenir" w:hAnsi="Avenir" w:cs="Avenir"/>
          <w:color w:val="000000"/>
          <w:sz w:val="22"/>
          <w:szCs w:val="22"/>
        </w:rPr>
        <w:t xml:space="preserve">Patients who choose combination hormonal contraceptives (oral, patch, ring) may begin the method as soon as the next day or on the most convenient day after taking misoprostol – even if bleeding persists. </w:t>
      </w:r>
      <w:r w:rsidR="009368AC">
        <w:rPr>
          <w:rFonts w:ascii="Avenir" w:eastAsia="Avenir" w:hAnsi="Avenir" w:cs="Avenir"/>
          <w:color w:val="000000"/>
          <w:sz w:val="22"/>
          <w:szCs w:val="22"/>
        </w:rPr>
        <w:t xml:space="preserve">The implant may be safely inserted the same day that the patient takes mifepristone, if an appointment is available for them. However, implant or IUD insertion can take place at a follow-up visit and a bridge method can be used until that time. </w:t>
      </w:r>
      <w:r w:rsidR="009368AC" w:rsidRPr="001E6E81">
        <w:rPr>
          <w:rFonts w:ascii="Avenir Book" w:hAnsi="Avenir Book"/>
          <w:sz w:val="22"/>
          <w:szCs w:val="22"/>
        </w:rPr>
        <w:t xml:space="preserve">The progestin injection (Depo Provera) on the same day that patient takes mifepristone may somewhat decrease the effectiveness of the medication abortion, but can safely be initiated on the day of mifepristone or at a follow-up visit, depending on patient preference. Same day progestin injection is </w:t>
      </w:r>
      <w:r w:rsidR="009368AC" w:rsidRPr="001E6E81">
        <w:rPr>
          <w:rFonts w:ascii="Avenir Book" w:hAnsi="Avenir Book"/>
          <w:sz w:val="22"/>
          <w:szCs w:val="22"/>
        </w:rPr>
        <w:lastRenderedPageBreak/>
        <w:t>associated with increased ongoing pregnancy rate compared to initiation at follow-up (3.6% vs 0.9%), but patient satisfaction is higher.</w:t>
      </w:r>
      <w:r w:rsidR="009368AC">
        <w:rPr>
          <w:rStyle w:val="FootnoteReference"/>
          <w:rFonts w:ascii="Avenir Book" w:hAnsi="Avenir Book"/>
          <w:sz w:val="22"/>
          <w:szCs w:val="22"/>
        </w:rPr>
        <w:footnoteReference w:id="16"/>
      </w:r>
      <w:r w:rsidR="009368AC" w:rsidRPr="001E6E81">
        <w:rPr>
          <w:rFonts w:ascii="Avenir Book" w:hAnsi="Avenir Book"/>
          <w:sz w:val="22"/>
          <w:szCs w:val="22"/>
        </w:rPr>
        <w:t xml:space="preserve"> </w:t>
      </w:r>
      <w:r w:rsidR="009368AC">
        <w:rPr>
          <w:rFonts w:ascii="Avenir" w:eastAsia="Avenir" w:hAnsi="Avenir" w:cs="Avenir"/>
          <w:color w:val="000000"/>
          <w:sz w:val="22"/>
          <w:szCs w:val="22"/>
        </w:rPr>
        <w:t>Patients may begin to have vaginal sex with barrier contraception when they feel comfortable.</w:t>
      </w:r>
      <w:r>
        <w:rPr>
          <w:rFonts w:ascii="Avenir" w:eastAsia="Avenir" w:hAnsi="Avenir" w:cs="Avenir"/>
          <w:color w:val="000000"/>
          <w:sz w:val="22"/>
          <w:szCs w:val="22"/>
        </w:rPr>
        <w:t xml:space="preserve"> Patients who choose </w:t>
      </w:r>
      <w:r w:rsidR="009368AC">
        <w:rPr>
          <w:rFonts w:ascii="Avenir" w:eastAsia="Avenir" w:hAnsi="Avenir" w:cs="Avenir"/>
          <w:sz w:val="22"/>
          <w:szCs w:val="22"/>
        </w:rPr>
        <w:t>a permanent method</w:t>
      </w:r>
      <w:r w:rsidR="009368AC">
        <w:rPr>
          <w:rFonts w:ascii="Avenir" w:eastAsia="Avenir" w:hAnsi="Avenir" w:cs="Avenir"/>
          <w:color w:val="000000"/>
          <w:sz w:val="22"/>
          <w:szCs w:val="22"/>
        </w:rPr>
        <w:t xml:space="preserve"> </w:t>
      </w:r>
      <w:r>
        <w:rPr>
          <w:rFonts w:ascii="Avenir" w:eastAsia="Avenir" w:hAnsi="Avenir" w:cs="Avenir"/>
          <w:color w:val="000000"/>
          <w:sz w:val="22"/>
          <w:szCs w:val="22"/>
        </w:rPr>
        <w:t>should be referred as appropriate to avoid delays</w:t>
      </w:r>
      <w:r w:rsidR="009368AC">
        <w:rPr>
          <w:rFonts w:ascii="Avenir" w:eastAsia="Avenir" w:hAnsi="Avenir" w:cs="Avenir"/>
          <w:color w:val="000000"/>
          <w:sz w:val="22"/>
          <w:szCs w:val="22"/>
        </w:rPr>
        <w:t>.</w:t>
      </w:r>
    </w:p>
    <w:p w14:paraId="16BFAC75" w14:textId="682BA0DE" w:rsidR="00AA770A" w:rsidRDefault="00000000" w:rsidP="001E6E81">
      <w:pPr>
        <w:widowControl w:val="0"/>
        <w:pBdr>
          <w:top w:val="nil"/>
          <w:left w:val="nil"/>
          <w:bottom w:val="nil"/>
          <w:right w:val="nil"/>
          <w:between w:val="nil"/>
        </w:pBdr>
        <w:rPr>
          <w:color w:val="000000"/>
        </w:rPr>
      </w:pPr>
      <w:r>
        <w:rPr>
          <w:rFonts w:ascii="Avenir" w:eastAsia="Avenir" w:hAnsi="Avenir" w:cs="Avenir"/>
          <w:color w:val="000000"/>
          <w:sz w:val="22"/>
          <w:szCs w:val="22"/>
        </w:rPr>
        <w:t xml:space="preserve"> </w:t>
      </w:r>
    </w:p>
    <w:sectPr w:rsidR="00AA770A">
      <w:headerReference w:type="even" r:id="rId13"/>
      <w:headerReference w:type="default" r:id="rId14"/>
      <w:footerReference w:type="even" r:id="rId15"/>
      <w:footerReference w:type="default" r:id="rId16"/>
      <w:headerReference w:type="first" r:id="rId17"/>
      <w:footerReference w:type="first" r:id="rId18"/>
      <w:pgSz w:w="12240" w:h="15840"/>
      <w:pgMar w:top="13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DE1C" w14:textId="77777777" w:rsidR="008E76E4" w:rsidRDefault="008E76E4">
      <w:r>
        <w:separator/>
      </w:r>
    </w:p>
  </w:endnote>
  <w:endnote w:type="continuationSeparator" w:id="0">
    <w:p w14:paraId="03E96913" w14:textId="77777777" w:rsidR="008E76E4" w:rsidRDefault="008E7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0484E5C-5496-3744-97FC-694B4845CBD4}"/>
  </w:font>
  <w:font w:name="Times New Roman">
    <w:panose1 w:val="02020603050405020304"/>
    <w:charset w:val="00"/>
    <w:family w:val="roman"/>
    <w:pitch w:val="variable"/>
    <w:sig w:usb0="E0002EFF" w:usb1="C000785B" w:usb2="00000009" w:usb3="00000000" w:csb0="000001FF" w:csb1="00000000"/>
    <w:embedRegular r:id="rId2" w:fontKey="{DFF5E996-5DAB-3E4B-A304-DC3C18B163D8}"/>
    <w:embedBold r:id="rId3" w:fontKey="{6FDEC6D5-7D12-4147-9740-AE44EE3A46D7}"/>
    <w:embedItalic r:id="rId4" w:fontKey="{8EB9D8B5-8C4C-D24F-A983-C56B713A6E00}"/>
  </w:font>
  <w:font w:name="Courier New">
    <w:panose1 w:val="02070309020205020404"/>
    <w:charset w:val="00"/>
    <w:family w:val="modern"/>
    <w:pitch w:val="fixed"/>
    <w:sig w:usb0="E0002EFF" w:usb1="C0007843" w:usb2="00000009" w:usb3="00000000" w:csb0="000001FF" w:csb1="00000000"/>
    <w:embedRegular r:id="rId5" w:fontKey="{C3DB1D67-BCFC-AA4D-8683-B72D562BB394}"/>
  </w:font>
  <w:font w:name="Wingdings">
    <w:panose1 w:val="05000000000000000000"/>
    <w:charset w:val="4D"/>
    <w:family w:val="decorative"/>
    <w:pitch w:val="variable"/>
    <w:sig w:usb0="00000003" w:usb1="00000000" w:usb2="00000000" w:usb3="00000000" w:csb0="80000001" w:csb1="00000000"/>
    <w:embedRegular r:id="rId6" w:fontKey="{67EFEB52-1811-7848-BBDD-0973BDB4A5D8}"/>
  </w:font>
  <w:font w:name="Noto Sans Symbols">
    <w:altName w:val="Calibri"/>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8" w:fontKey="{8855D172-402B-8A49-9C5E-DAF0E7EBD175}"/>
    <w:embedBold r:id="rId9" w:fontKey="{01198D6D-A32F-7746-860A-86EB52DE8684}"/>
    <w:embedItalic r:id="rId10" w:fontKey="{AD3E0648-1A57-F246-83B7-A5CC931D6363}"/>
  </w:font>
  <w:font w:name="Georgia">
    <w:panose1 w:val="02040502050405020303"/>
    <w:charset w:val="00"/>
    <w:family w:val="roman"/>
    <w:pitch w:val="variable"/>
    <w:sig w:usb0="00000287" w:usb1="00000000" w:usb2="00000000" w:usb3="00000000" w:csb0="0000009F" w:csb1="00000000"/>
    <w:embedRegular r:id="rId11" w:fontKey="{86BE003E-045A-4B41-AFF1-D888D20CCE96}"/>
    <w:embedItalic r:id="rId12" w:fontKey="{45124164-5190-534A-BDEA-BF5EC806E20B}"/>
  </w:font>
  <w:font w:name="Avenir Book">
    <w:panose1 w:val="02000503020000020003"/>
    <w:charset w:val="00"/>
    <w:family w:val="auto"/>
    <w:pitch w:val="variable"/>
    <w:sig w:usb0="800000AF" w:usb1="5000204A" w:usb2="00000000" w:usb3="00000000" w:csb0="0000009B" w:csb1="00000000"/>
    <w:embedRegular r:id="rId13" w:fontKey="{A275FC82-D7A7-4640-B102-6FC348E07303}"/>
    <w:embedBold r:id="rId14" w:fontKey="{4FEE252E-6E08-3144-A402-350900195347}"/>
    <w:embedItalic r:id="rId15" w:fontKey="{46FC7617-32DF-A84C-BFF2-C81A1E19CE53}"/>
  </w:font>
  <w:font w:name="Segoe UI">
    <w:panose1 w:val="020B0502040204020203"/>
    <w:charset w:val="00"/>
    <w:family w:val="swiss"/>
    <w:pitch w:val="variable"/>
    <w:sig w:usb0="E4002EFF" w:usb1="C000E47F" w:usb2="00000009" w:usb3="00000000" w:csb0="000001FF" w:csb1="00000000"/>
    <w:embedRegular r:id="rId16" w:fontKey="{9095BB84-3AE3-2C4E-A4C7-D61129CB8CB7}"/>
    <w:embedItalic r:id="rId17" w:fontKey="{29091702-F7E0-5D43-A16A-CEA8ADD88A16}"/>
  </w:font>
  <w:font w:name="Calibri">
    <w:panose1 w:val="020F0502020204030204"/>
    <w:charset w:val="00"/>
    <w:family w:val="swiss"/>
    <w:pitch w:val="variable"/>
    <w:sig w:usb0="E0002AFF" w:usb1="C000247B" w:usb2="00000009" w:usb3="00000000" w:csb0="000001FF" w:csb1="00000000"/>
    <w:embedRegular r:id="rId18" w:fontKey="{2AD6E33E-DA1B-2B45-88EF-BD298A9C458F}"/>
  </w:font>
  <w:font w:name="Cambria">
    <w:panose1 w:val="02040503050406030204"/>
    <w:charset w:val="00"/>
    <w:family w:val="roman"/>
    <w:pitch w:val="variable"/>
    <w:sig w:usb0="E00006FF" w:usb1="420024FF" w:usb2="02000000" w:usb3="00000000" w:csb0="0000019F" w:csb1="00000000"/>
    <w:embedRegular r:id="rId19" w:fontKey="{1F16A87E-0AC5-F04C-8536-5B4BAB02E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3706" w14:textId="77777777" w:rsidR="00AA770A" w:rsidRDefault="00AA770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19F87" w14:textId="77777777" w:rsidR="00AA770A" w:rsidRDefault="00AA770A">
    <w:pPr>
      <w:pBdr>
        <w:top w:val="nil"/>
        <w:left w:val="nil"/>
        <w:bottom w:val="nil"/>
        <w:right w:val="nil"/>
        <w:between w:val="nil"/>
      </w:pBdr>
      <w:tabs>
        <w:tab w:val="center" w:pos="4320"/>
        <w:tab w:val="right" w:pos="8640"/>
      </w:tabs>
      <w:jc w:val="center"/>
      <w:rPr>
        <w:color w:val="000000"/>
      </w:rPr>
    </w:pPr>
  </w:p>
  <w:p w14:paraId="4A01CF0B" w14:textId="5B5542E8" w:rsidR="00AA770A" w:rsidRPr="0013731A" w:rsidRDefault="00AF573B">
    <w:pPr>
      <w:pBdr>
        <w:top w:val="nil"/>
        <w:left w:val="nil"/>
        <w:bottom w:val="nil"/>
        <w:right w:val="nil"/>
        <w:between w:val="nil"/>
      </w:pBdr>
      <w:tabs>
        <w:tab w:val="center" w:pos="4320"/>
        <w:tab w:val="right" w:pos="8640"/>
      </w:tabs>
      <w:spacing w:after="720"/>
      <w:rPr>
        <w:rFonts w:ascii="Avenir" w:eastAsia="Avenir" w:hAnsi="Avenir" w:cs="Avenir"/>
        <w:sz w:val="20"/>
        <w:szCs w:val="20"/>
      </w:rPr>
    </w:pPr>
    <w:r>
      <w:rPr>
        <w:rFonts w:ascii="Avenir" w:eastAsia="Avenir" w:hAnsi="Avenir" w:cs="Avenir"/>
        <w:sz w:val="20"/>
        <w:szCs w:val="20"/>
      </w:rPr>
      <w:t>J</w:t>
    </w:r>
    <w:r w:rsidR="0013731A">
      <w:rPr>
        <w:rFonts w:ascii="Avenir" w:eastAsia="Avenir" w:hAnsi="Avenir" w:cs="Avenir"/>
        <w:sz w:val="20"/>
        <w:szCs w:val="20"/>
      </w:rPr>
      <w:t>une</w:t>
    </w:r>
    <w:r>
      <w:rPr>
        <w:rFonts w:ascii="Avenir" w:eastAsia="Avenir" w:hAnsi="Avenir" w:cs="Avenir"/>
        <w:sz w:val="20"/>
        <w:szCs w:val="20"/>
      </w:rPr>
      <w:t xml:space="preserve"> </w:t>
    </w:r>
    <w:r w:rsidR="00E348A9">
      <w:rPr>
        <w:rFonts w:ascii="Avenir" w:eastAsia="Avenir" w:hAnsi="Avenir" w:cs="Avenir"/>
        <w:sz w:val="20"/>
        <w:szCs w:val="20"/>
      </w:rPr>
      <w:t>202</w:t>
    </w:r>
    <w:r>
      <w:rPr>
        <w:rFonts w:ascii="Avenir" w:eastAsia="Avenir" w:hAnsi="Avenir" w:cs="Avenir"/>
        <w:sz w:val="20"/>
        <w:szCs w:val="20"/>
      </w:rPr>
      <w:t>5</w:t>
    </w:r>
    <w:r w:rsidR="00E348A9">
      <w:rPr>
        <w:rFonts w:ascii="Avenir" w:eastAsia="Avenir" w:hAnsi="Avenir" w:cs="Avenir"/>
        <w:color w:val="000000"/>
        <w:sz w:val="20"/>
        <w:szCs w:val="20"/>
      </w:rPr>
      <w:t xml:space="preserve"> / www.reproductiveaccess.org</w:t>
    </w:r>
    <w:r w:rsidR="00E348A9">
      <w:rPr>
        <w:rFonts w:ascii="Avenir" w:eastAsia="Avenir" w:hAnsi="Avenir" w:cs="Avenir"/>
        <w:color w:val="000000"/>
        <w:sz w:val="20"/>
        <w:szCs w:val="20"/>
      </w:rPr>
      <w:tab/>
    </w:r>
    <w:r w:rsidR="00E348A9">
      <w:rPr>
        <w:noProof/>
      </w:rPr>
      <w:drawing>
        <wp:anchor distT="0" distB="0" distL="114300" distR="114300" simplePos="0" relativeHeight="251658240" behindDoc="0" locked="0" layoutInCell="1" hidden="0" allowOverlap="1" wp14:anchorId="5901DB8A" wp14:editId="37502163">
          <wp:simplePos x="0" y="0"/>
          <wp:positionH relativeFrom="column">
            <wp:posOffset>5186680</wp:posOffset>
          </wp:positionH>
          <wp:positionV relativeFrom="paragraph">
            <wp:posOffset>-85087</wp:posOffset>
          </wp:positionV>
          <wp:extent cx="989330" cy="48768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76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64FD" w14:textId="77777777" w:rsidR="00AA770A" w:rsidRDefault="00AA770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6A7E9" w14:textId="77777777" w:rsidR="008E76E4" w:rsidRDefault="008E76E4">
      <w:r>
        <w:separator/>
      </w:r>
    </w:p>
  </w:footnote>
  <w:footnote w:type="continuationSeparator" w:id="0">
    <w:p w14:paraId="1F20AC45" w14:textId="77777777" w:rsidR="008E76E4" w:rsidRDefault="008E76E4">
      <w:r>
        <w:continuationSeparator/>
      </w:r>
    </w:p>
  </w:footnote>
  <w:footnote w:id="1">
    <w:p w14:paraId="545CE84B" w14:textId="15AFFD7D" w:rsidR="00D21457" w:rsidRDefault="00D21457">
      <w:pPr>
        <w:pStyle w:val="FootnoteText"/>
      </w:pPr>
      <w:r>
        <w:rPr>
          <w:rStyle w:val="FootnoteReference"/>
        </w:rPr>
        <w:footnoteRef/>
      </w:r>
      <w:r>
        <w:t xml:space="preserve"> </w:t>
      </w:r>
      <w:r w:rsidRPr="00D21457">
        <w:rPr>
          <w:rFonts w:ascii="Avenir Book" w:hAnsi="Avenir Book" w:cs="Segoe UI"/>
          <w:color w:val="222222"/>
          <w:sz w:val="16"/>
          <w:szCs w:val="16"/>
        </w:rPr>
        <w:t>Upadhyay, U.D., Koenig, L.R., Meckstroth, K. </w:t>
      </w:r>
      <w:r w:rsidRPr="00D21457">
        <w:rPr>
          <w:rFonts w:ascii="Avenir Book" w:hAnsi="Avenir Book" w:cs="Segoe UI"/>
          <w:i/>
          <w:iCs/>
          <w:color w:val="222222"/>
          <w:sz w:val="16"/>
          <w:szCs w:val="16"/>
        </w:rPr>
        <w:t>et al.</w:t>
      </w:r>
      <w:r w:rsidRPr="00D21457">
        <w:rPr>
          <w:rFonts w:ascii="Avenir Book" w:hAnsi="Avenir Book" w:cs="Segoe UI"/>
          <w:color w:val="222222"/>
          <w:sz w:val="16"/>
          <w:szCs w:val="16"/>
        </w:rPr>
        <w:t> Effectiveness and safety of telehealth medication abortion in the USA. </w:t>
      </w:r>
      <w:r w:rsidRPr="00D21457">
        <w:rPr>
          <w:rFonts w:ascii="Avenir Book" w:hAnsi="Avenir Book" w:cs="Segoe UI"/>
          <w:i/>
          <w:iCs/>
          <w:color w:val="222222"/>
          <w:sz w:val="16"/>
          <w:szCs w:val="16"/>
        </w:rPr>
        <w:t>Nat Med</w:t>
      </w:r>
      <w:r w:rsidRPr="00D21457">
        <w:rPr>
          <w:rFonts w:ascii="Avenir Book" w:hAnsi="Avenir Book" w:cs="Segoe UI"/>
          <w:color w:val="222222"/>
          <w:sz w:val="16"/>
          <w:szCs w:val="16"/>
        </w:rPr>
        <w:t> 30, 1191–1198 (2024). https://doi.org/10.1038/s41591-024-02834-w</w:t>
      </w:r>
      <w:r>
        <w:rPr>
          <w:rFonts w:ascii="Avenir Book" w:hAnsi="Avenir Book" w:cs="Segoe UI"/>
          <w:color w:val="222222"/>
          <w:sz w:val="16"/>
          <w:szCs w:val="16"/>
        </w:rPr>
        <w:t>.</w:t>
      </w:r>
    </w:p>
  </w:footnote>
  <w:footnote w:id="2">
    <w:p w14:paraId="625AC2A5" w14:textId="0E593FFC" w:rsidR="00AA770A" w:rsidRPr="00D21457" w:rsidRDefault="00000000">
      <w:pPr>
        <w:pBdr>
          <w:top w:val="nil"/>
          <w:left w:val="nil"/>
          <w:bottom w:val="nil"/>
          <w:right w:val="nil"/>
          <w:between w:val="nil"/>
        </w:pBdr>
        <w:rPr>
          <w:rFonts w:ascii="Avenir Book" w:eastAsia="Avenir" w:hAnsi="Avenir Book" w:cs="Avenir"/>
          <w:color w:val="000000"/>
          <w:sz w:val="16"/>
          <w:szCs w:val="16"/>
        </w:rPr>
      </w:pPr>
      <w:r w:rsidRPr="00D21457">
        <w:rPr>
          <w:rFonts w:ascii="Avenir Book" w:hAnsi="Avenir Book"/>
          <w:sz w:val="16"/>
          <w:szCs w:val="16"/>
          <w:vertAlign w:val="superscript"/>
        </w:rPr>
        <w:footnoteRef/>
      </w:r>
      <w:r w:rsidRPr="00D21457">
        <w:rPr>
          <w:rFonts w:ascii="Avenir Book" w:eastAsia="Avenir" w:hAnsi="Avenir Book" w:cs="Avenir"/>
          <w:color w:val="000000"/>
          <w:sz w:val="16"/>
          <w:szCs w:val="16"/>
        </w:rPr>
        <w:t xml:space="preserve"> </w:t>
      </w:r>
      <w:r w:rsidR="00663865" w:rsidRPr="004169E0">
        <w:rPr>
          <w:rFonts w:ascii="Avenir" w:eastAsia="Avenir" w:hAnsi="Avenir" w:cs="Avenir"/>
          <w:color w:val="000000"/>
          <w:sz w:val="16"/>
          <w:szCs w:val="16"/>
        </w:rPr>
        <w:t xml:space="preserve">National Abortion Federation. NAF’s </w:t>
      </w:r>
      <w:r w:rsidR="00663865">
        <w:rPr>
          <w:rFonts w:ascii="Avenir" w:eastAsia="Avenir" w:hAnsi="Avenir" w:cs="Avenir"/>
          <w:color w:val="000000"/>
          <w:sz w:val="16"/>
          <w:szCs w:val="16"/>
        </w:rPr>
        <w:t xml:space="preserve">2024 </w:t>
      </w:r>
      <w:r w:rsidR="00663865" w:rsidRPr="004169E0">
        <w:rPr>
          <w:rFonts w:ascii="Avenir" w:eastAsia="Avenir" w:hAnsi="Avenir" w:cs="Avenir"/>
          <w:color w:val="000000"/>
          <w:sz w:val="16"/>
          <w:szCs w:val="16"/>
        </w:rPr>
        <w:t>Clinical Policy Guidelines for Abortion Care. National Abortion Federation; 2024. https://prochoice.org/providers/quality-standards/</w:t>
      </w:r>
    </w:p>
  </w:footnote>
  <w:footnote w:id="3">
    <w:p w14:paraId="4E2EEF42" w14:textId="197713A1" w:rsidR="00FF45CC" w:rsidRPr="001E6E81" w:rsidRDefault="00FF45CC">
      <w:pPr>
        <w:pStyle w:val="FootnoteText"/>
        <w:rPr>
          <w:rFonts w:ascii="Avenir Book" w:hAnsi="Avenir Book"/>
          <w:sz w:val="16"/>
          <w:szCs w:val="16"/>
        </w:rPr>
      </w:pPr>
      <w:r w:rsidRPr="001E6E81">
        <w:rPr>
          <w:rStyle w:val="FootnoteReference"/>
          <w:rFonts w:ascii="Avenir Book" w:hAnsi="Avenir Book"/>
          <w:sz w:val="16"/>
          <w:szCs w:val="16"/>
        </w:rPr>
        <w:footnoteRef/>
      </w:r>
      <w:r w:rsidRPr="001E6E81">
        <w:rPr>
          <w:rFonts w:ascii="Avenir Book" w:hAnsi="Avenir Book"/>
          <w:sz w:val="16"/>
          <w:szCs w:val="16"/>
        </w:rPr>
        <w:t xml:space="preserve"> </w:t>
      </w:r>
      <w:r w:rsidR="00710482" w:rsidRPr="001E6E81">
        <w:rPr>
          <w:rFonts w:ascii="Avenir Book" w:hAnsi="Avenir Book"/>
          <w:sz w:val="16"/>
          <w:szCs w:val="16"/>
        </w:rPr>
        <w:t xml:space="preserve">7 Ngo, T. D., M. H. Park, H. Shakur, and C. Free. 2011. Comparative effectiveness, safety and acceptability of medical abortion at home and in a clinic: A systematic review. Bulletin of the World Health </w:t>
      </w:r>
      <w:r w:rsidR="00710482" w:rsidRPr="00710482">
        <w:rPr>
          <w:rFonts w:ascii="Avenir Book" w:hAnsi="Avenir Book"/>
          <w:sz w:val="16"/>
          <w:szCs w:val="16"/>
        </w:rPr>
        <w:t>Organization</w:t>
      </w:r>
      <w:r w:rsidR="00710482" w:rsidRPr="001E6E81">
        <w:rPr>
          <w:rFonts w:ascii="Avenir Book" w:hAnsi="Avenir Book"/>
          <w:sz w:val="16"/>
          <w:szCs w:val="16"/>
        </w:rPr>
        <w:t xml:space="preserve"> 89(5):360–370.</w:t>
      </w:r>
    </w:p>
  </w:footnote>
  <w:footnote w:id="4">
    <w:p w14:paraId="2CCF4D5E" w14:textId="550EBCFB" w:rsidR="00710482" w:rsidRPr="001E6E81" w:rsidRDefault="00710482">
      <w:pPr>
        <w:pStyle w:val="FootnoteText"/>
        <w:rPr>
          <w:rFonts w:ascii="Avenir Book" w:hAnsi="Avenir Book"/>
          <w:sz w:val="16"/>
          <w:szCs w:val="16"/>
        </w:rPr>
      </w:pPr>
      <w:r w:rsidRPr="001E6E81">
        <w:rPr>
          <w:rStyle w:val="FootnoteReference"/>
          <w:rFonts w:ascii="Avenir Book" w:hAnsi="Avenir Book"/>
          <w:sz w:val="16"/>
          <w:szCs w:val="16"/>
        </w:rPr>
        <w:footnoteRef/>
      </w:r>
      <w:r w:rsidRPr="001E6E81">
        <w:rPr>
          <w:rFonts w:ascii="Avenir Book" w:hAnsi="Avenir Book"/>
          <w:sz w:val="16"/>
          <w:szCs w:val="16"/>
        </w:rPr>
        <w:t xml:space="preserve"> National Academies of Sciences, Engineering, and Medicine. 2018. The Safety and Quality of Abortion Care in the United States. Washington, DC: The National Academies Press. https://doi.org/10.17226/24950.</w:t>
      </w:r>
    </w:p>
  </w:footnote>
  <w:footnote w:id="5">
    <w:p w14:paraId="0475089D" w14:textId="4BC926CA" w:rsidR="00710482" w:rsidRDefault="00710482">
      <w:pPr>
        <w:pStyle w:val="FootnoteText"/>
      </w:pPr>
      <w:r>
        <w:rPr>
          <w:rStyle w:val="FootnoteReference"/>
        </w:rPr>
        <w:footnoteRef/>
      </w:r>
      <w:r>
        <w:t xml:space="preserve"> </w:t>
      </w:r>
      <w:r w:rsidRPr="001E6E81">
        <w:rPr>
          <w:rFonts w:ascii="Avenir Book" w:hAnsi="Avenir Book"/>
          <w:sz w:val="16"/>
          <w:szCs w:val="16"/>
        </w:rPr>
        <w:t>U.S Food and Drug Administration.</w:t>
      </w:r>
      <w:r>
        <w:rPr>
          <w:rFonts w:ascii="Avenir Book" w:hAnsi="Avenir Book"/>
          <w:sz w:val="16"/>
          <w:szCs w:val="16"/>
        </w:rPr>
        <w:t xml:space="preserve"> MIFEPREX (Mifepristone) Tablets Label. </w:t>
      </w:r>
      <w:r w:rsidRPr="001E6E81">
        <w:rPr>
          <w:rFonts w:ascii="Avenir Book" w:hAnsi="Avenir Book"/>
          <w:sz w:val="16"/>
          <w:szCs w:val="16"/>
        </w:rPr>
        <w:t>https://www.accessdata.fda.gov/drugsatfda_docs/label/2016/020687s020lbl.pdf. Revised March 2016. Accessed December 2024.</w:t>
      </w:r>
    </w:p>
  </w:footnote>
  <w:footnote w:id="6">
    <w:p w14:paraId="4EEA2F46" w14:textId="77777777" w:rsidR="00AA770A" w:rsidRPr="001E6E81" w:rsidRDefault="00000000">
      <w:pPr>
        <w:rPr>
          <w:rFonts w:ascii="Avenir Book" w:eastAsia="Avenir" w:hAnsi="Avenir Book" w:cs="Avenir"/>
          <w:sz w:val="16"/>
          <w:szCs w:val="16"/>
        </w:rPr>
      </w:pPr>
      <w:r w:rsidRPr="001E6E81">
        <w:rPr>
          <w:rFonts w:ascii="Avenir Book" w:hAnsi="Avenir Book"/>
          <w:sz w:val="16"/>
          <w:szCs w:val="16"/>
          <w:vertAlign w:val="superscript"/>
        </w:rPr>
        <w:footnoteRef/>
      </w:r>
      <w:r w:rsidRPr="001E6E81">
        <w:rPr>
          <w:rFonts w:ascii="Avenir Book" w:eastAsia="Calibri" w:hAnsi="Avenir Book" w:cs="Calibri"/>
          <w:sz w:val="16"/>
          <w:szCs w:val="16"/>
        </w:rPr>
        <w:t xml:space="preserve"> </w:t>
      </w:r>
      <w:r w:rsidRPr="001E6E81">
        <w:rPr>
          <w:rFonts w:ascii="Avenir Book" w:eastAsia="Avenir" w:hAnsi="Avenir Book" w:cs="Avenir"/>
          <w:sz w:val="16"/>
          <w:szCs w:val="16"/>
        </w:rPr>
        <w:t>Guttmacher Institute. “Medication Abortion.” (2022). https://www.guttmacher.org/state-policy/explore/medication-abortion</w:t>
      </w:r>
    </w:p>
  </w:footnote>
  <w:footnote w:id="7">
    <w:p w14:paraId="09246986"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Avenir" w:hAnsi="Avenir Book" w:cs="Avenir"/>
          <w:color w:val="000000"/>
          <w:sz w:val="16"/>
          <w:szCs w:val="16"/>
        </w:rPr>
        <w:t xml:space="preserve"> </w:t>
      </w:r>
      <w:r w:rsidRPr="001E6E81">
        <w:rPr>
          <w:rFonts w:ascii="Avenir Book" w:eastAsia="Avenir" w:hAnsi="Avenir Book" w:cs="Avenir"/>
          <w:color w:val="222222"/>
          <w:sz w:val="16"/>
          <w:szCs w:val="16"/>
          <w:highlight w:val="white"/>
        </w:rPr>
        <w:t xml:space="preserve">Foster, Diana Greene, et al. "Interest in and experience with IUD self-removal." </w:t>
      </w:r>
      <w:r w:rsidRPr="001E6E81">
        <w:rPr>
          <w:rFonts w:ascii="Avenir Book" w:eastAsia="Avenir" w:hAnsi="Avenir Book" w:cs="Avenir"/>
          <w:i/>
          <w:color w:val="222222"/>
          <w:sz w:val="16"/>
          <w:szCs w:val="16"/>
          <w:highlight w:val="white"/>
        </w:rPr>
        <w:t>Contraception</w:t>
      </w:r>
      <w:r w:rsidRPr="001E6E81">
        <w:rPr>
          <w:rFonts w:ascii="Avenir Book" w:eastAsia="Avenir" w:hAnsi="Avenir Book" w:cs="Avenir"/>
          <w:color w:val="222222"/>
          <w:sz w:val="16"/>
          <w:szCs w:val="16"/>
          <w:highlight w:val="white"/>
        </w:rPr>
        <w:t xml:space="preserve"> 90.1 (2014): 54-59.</w:t>
      </w:r>
    </w:p>
  </w:footnote>
  <w:footnote w:id="8">
    <w:p w14:paraId="54F0EC08"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000000"/>
          <w:sz w:val="16"/>
          <w:szCs w:val="16"/>
        </w:rPr>
        <w:t xml:space="preserve">Bracken, H., et al. "Alternatives to routine ultrasound for eligibility assessment prior to early termination of pregnancy with mifepristone–misoprostol." BJOG: An International Journal of Obstetrics &amp; </w:t>
      </w:r>
      <w:proofErr w:type="spellStart"/>
      <w:r w:rsidRPr="001E6E81">
        <w:rPr>
          <w:rFonts w:ascii="Avenir Book" w:eastAsia="Avenir" w:hAnsi="Avenir Book" w:cs="Avenir"/>
          <w:color w:val="000000"/>
          <w:sz w:val="16"/>
          <w:szCs w:val="16"/>
        </w:rPr>
        <w:t>Gynaecology</w:t>
      </w:r>
      <w:proofErr w:type="spellEnd"/>
      <w:r w:rsidRPr="001E6E81">
        <w:rPr>
          <w:rFonts w:ascii="Avenir Book" w:eastAsia="Avenir" w:hAnsi="Avenir Book" w:cs="Avenir"/>
          <w:color w:val="000000"/>
          <w:sz w:val="16"/>
          <w:szCs w:val="16"/>
        </w:rPr>
        <w:t xml:space="preserve"> 118.1 (2011): 17-23.</w:t>
      </w:r>
    </w:p>
  </w:footnote>
  <w:footnote w:id="9">
    <w:p w14:paraId="399BCB25"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000000"/>
          <w:sz w:val="16"/>
          <w:szCs w:val="16"/>
        </w:rPr>
        <w:t>Raymond, Elizabeth G., et al. "Simplified medical abortion screening: a demonstration project." Contraception 97.4 (2018): 292-296.</w:t>
      </w:r>
    </w:p>
  </w:footnote>
  <w:footnote w:id="10">
    <w:p w14:paraId="28CD14EC" w14:textId="77777777" w:rsidR="00AA770A" w:rsidRPr="001E6E81" w:rsidRDefault="00000000">
      <w:pPr>
        <w:pBdr>
          <w:top w:val="nil"/>
          <w:left w:val="nil"/>
          <w:bottom w:val="nil"/>
          <w:right w:val="nil"/>
          <w:between w:val="nil"/>
        </w:pBdr>
        <w:rPr>
          <w:rFonts w:ascii="Avenir" w:eastAsia="Avenir" w:hAnsi="Avenir"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000000"/>
          <w:sz w:val="16"/>
          <w:szCs w:val="16"/>
        </w:rPr>
        <w:t>Royal College of Obstetricians &amp; Gynecologists. “Coronavirus (COVID-19) infection and abortion care.” Version 1: published March 21, 2020.</w:t>
      </w:r>
    </w:p>
  </w:footnote>
  <w:footnote w:id="11">
    <w:p w14:paraId="7E0465D1"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222222"/>
          <w:sz w:val="16"/>
          <w:szCs w:val="16"/>
          <w:highlight w:val="white"/>
        </w:rPr>
        <w:t xml:space="preserve">Chen, Melissa J., and Mitchell D. </w:t>
      </w:r>
      <w:proofErr w:type="spellStart"/>
      <w:r w:rsidRPr="001E6E81">
        <w:rPr>
          <w:rFonts w:ascii="Avenir Book" w:eastAsia="Avenir" w:hAnsi="Avenir Book" w:cs="Avenir"/>
          <w:color w:val="222222"/>
          <w:sz w:val="16"/>
          <w:szCs w:val="16"/>
          <w:highlight w:val="white"/>
        </w:rPr>
        <w:t>Creinin</w:t>
      </w:r>
      <w:proofErr w:type="spellEnd"/>
      <w:r w:rsidRPr="001E6E81">
        <w:rPr>
          <w:rFonts w:ascii="Avenir Book" w:eastAsia="Avenir" w:hAnsi="Avenir Book" w:cs="Avenir"/>
          <w:color w:val="222222"/>
          <w:sz w:val="16"/>
          <w:szCs w:val="16"/>
          <w:highlight w:val="white"/>
        </w:rPr>
        <w:t xml:space="preserve">. "Mifepristone with buccal misoprostol for medical abortion: a systematic review." </w:t>
      </w:r>
      <w:r w:rsidRPr="001E6E81">
        <w:rPr>
          <w:rFonts w:ascii="Avenir Book" w:eastAsia="Avenir" w:hAnsi="Avenir Book" w:cs="Avenir"/>
          <w:i/>
          <w:color w:val="222222"/>
          <w:sz w:val="16"/>
          <w:szCs w:val="16"/>
          <w:highlight w:val="white"/>
        </w:rPr>
        <w:t>Obstetrics &amp; Gynecology</w:t>
      </w:r>
      <w:r w:rsidRPr="001E6E81">
        <w:rPr>
          <w:rFonts w:ascii="Avenir Book" w:eastAsia="Avenir" w:hAnsi="Avenir Book" w:cs="Avenir"/>
          <w:color w:val="222222"/>
          <w:sz w:val="16"/>
          <w:szCs w:val="16"/>
          <w:highlight w:val="white"/>
        </w:rPr>
        <w:t xml:space="preserve"> 126.1 (2015): 12-21.</w:t>
      </w:r>
    </w:p>
  </w:footnote>
  <w:footnote w:id="12">
    <w:p w14:paraId="09C2F771" w14:textId="77777777" w:rsidR="00AA770A" w:rsidRPr="001E6E81" w:rsidRDefault="00000000">
      <w:pPr>
        <w:pBdr>
          <w:top w:val="nil"/>
          <w:left w:val="nil"/>
          <w:bottom w:val="nil"/>
          <w:right w:val="nil"/>
          <w:between w:val="nil"/>
        </w:pBdr>
        <w:rPr>
          <w:rFonts w:ascii="Avenir Book" w:eastAsia="Avenir" w:hAnsi="Avenir Book" w:cs="Avenir"/>
          <w:color w:val="000000"/>
          <w:sz w:val="16"/>
          <w:szCs w:val="16"/>
        </w:rPr>
      </w:pPr>
      <w:r w:rsidRPr="001E6E81">
        <w:rPr>
          <w:rFonts w:ascii="Avenir Book" w:hAnsi="Avenir Book"/>
          <w:sz w:val="16"/>
          <w:szCs w:val="16"/>
          <w:vertAlign w:val="superscript"/>
        </w:rPr>
        <w:footnoteRef/>
      </w:r>
      <w:r w:rsidRPr="001E6E81">
        <w:rPr>
          <w:rFonts w:ascii="Avenir Book" w:eastAsia="Calibri" w:hAnsi="Avenir Book" w:cs="Calibri"/>
          <w:color w:val="000000"/>
          <w:sz w:val="16"/>
          <w:szCs w:val="16"/>
        </w:rPr>
        <w:t xml:space="preserve"> </w:t>
      </w:r>
      <w:r w:rsidRPr="001E6E81">
        <w:rPr>
          <w:rFonts w:ascii="Avenir Book" w:eastAsia="Avenir" w:hAnsi="Avenir Book" w:cs="Avenir"/>
          <w:color w:val="000000"/>
          <w:sz w:val="16"/>
          <w:szCs w:val="16"/>
        </w:rPr>
        <w:t xml:space="preserve">Schaff EA, Fielding SL, </w:t>
      </w:r>
      <w:proofErr w:type="spellStart"/>
      <w:r w:rsidRPr="001E6E81">
        <w:rPr>
          <w:rFonts w:ascii="Avenir Book" w:eastAsia="Avenir" w:hAnsi="Avenir Book" w:cs="Avenir"/>
          <w:color w:val="000000"/>
          <w:sz w:val="16"/>
          <w:szCs w:val="16"/>
        </w:rPr>
        <w:t>Westhoff</w:t>
      </w:r>
      <w:proofErr w:type="spellEnd"/>
      <w:r w:rsidRPr="001E6E81">
        <w:rPr>
          <w:rFonts w:ascii="Avenir Book" w:eastAsia="Avenir" w:hAnsi="Avenir Book" w:cs="Avenir"/>
          <w:color w:val="000000"/>
          <w:sz w:val="16"/>
          <w:szCs w:val="16"/>
        </w:rPr>
        <w:t xml:space="preserve"> C, </w:t>
      </w:r>
      <w:proofErr w:type="spellStart"/>
      <w:r w:rsidRPr="001E6E81">
        <w:rPr>
          <w:rFonts w:ascii="Avenir Book" w:eastAsia="Avenir" w:hAnsi="Avenir Book" w:cs="Avenir"/>
          <w:color w:val="000000"/>
          <w:sz w:val="16"/>
          <w:szCs w:val="16"/>
        </w:rPr>
        <w:t>Ellertson</w:t>
      </w:r>
      <w:proofErr w:type="spellEnd"/>
      <w:r w:rsidRPr="001E6E81">
        <w:rPr>
          <w:rFonts w:ascii="Avenir Book" w:eastAsia="Avenir" w:hAnsi="Avenir Book" w:cs="Avenir"/>
          <w:color w:val="000000"/>
          <w:sz w:val="16"/>
          <w:szCs w:val="16"/>
        </w:rPr>
        <w:t xml:space="preserve"> C, </w:t>
      </w:r>
      <w:proofErr w:type="spellStart"/>
      <w:r w:rsidRPr="001E6E81">
        <w:rPr>
          <w:rFonts w:ascii="Avenir Book" w:eastAsia="Avenir" w:hAnsi="Avenir Book" w:cs="Avenir"/>
          <w:color w:val="000000"/>
          <w:sz w:val="16"/>
          <w:szCs w:val="16"/>
        </w:rPr>
        <w:t>Eisinger</w:t>
      </w:r>
      <w:proofErr w:type="spellEnd"/>
      <w:r w:rsidRPr="001E6E81">
        <w:rPr>
          <w:rFonts w:ascii="Avenir Book" w:eastAsia="Avenir" w:hAnsi="Avenir Book" w:cs="Avenir"/>
          <w:color w:val="000000"/>
          <w:sz w:val="16"/>
          <w:szCs w:val="16"/>
        </w:rPr>
        <w:t xml:space="preserve"> SH, </w:t>
      </w:r>
      <w:proofErr w:type="spellStart"/>
      <w:r w:rsidRPr="001E6E81">
        <w:rPr>
          <w:rFonts w:ascii="Avenir Book" w:eastAsia="Avenir" w:hAnsi="Avenir Book" w:cs="Avenir"/>
          <w:color w:val="000000"/>
          <w:sz w:val="16"/>
          <w:szCs w:val="16"/>
        </w:rPr>
        <w:t>Stadalius</w:t>
      </w:r>
      <w:proofErr w:type="spellEnd"/>
      <w:r w:rsidRPr="001E6E81">
        <w:rPr>
          <w:rFonts w:ascii="Avenir Book" w:eastAsia="Avenir" w:hAnsi="Avenir Book" w:cs="Avenir"/>
          <w:color w:val="000000"/>
          <w:sz w:val="16"/>
          <w:szCs w:val="16"/>
        </w:rPr>
        <w:t xml:space="preserve"> LS, et al. Vaginal misoprostol administered 1, 2, or 3 days after mifepristone for early medical abortion: A randomized trial. JAMA 2000;284:1948-53.</w:t>
      </w:r>
    </w:p>
  </w:footnote>
  <w:footnote w:id="13">
    <w:p w14:paraId="5FB21366" w14:textId="491F9B8B" w:rsidR="00156D68" w:rsidRDefault="00156D68">
      <w:pPr>
        <w:pStyle w:val="FootnoteText"/>
      </w:pPr>
      <w:r w:rsidRPr="001E6E81">
        <w:rPr>
          <w:rStyle w:val="FootnoteReference"/>
          <w:rFonts w:ascii="Avenir Book" w:hAnsi="Avenir Book"/>
          <w:sz w:val="16"/>
          <w:szCs w:val="16"/>
        </w:rPr>
        <w:footnoteRef/>
      </w:r>
      <w:r w:rsidRPr="001E6E81">
        <w:rPr>
          <w:rFonts w:ascii="Avenir Book" w:hAnsi="Avenir Book"/>
          <w:sz w:val="16"/>
          <w:szCs w:val="16"/>
        </w:rPr>
        <w:t xml:space="preserve"> National Abortion Federation, 2024.</w:t>
      </w:r>
    </w:p>
  </w:footnote>
  <w:footnote w:id="14">
    <w:p w14:paraId="40FAB7B6" w14:textId="77777777" w:rsidR="00AA770A" w:rsidRPr="005F6496" w:rsidRDefault="00000000">
      <w:pPr>
        <w:rPr>
          <w:rFonts w:ascii="Avenir Book" w:eastAsia="Avenir" w:hAnsi="Avenir Book" w:cs="Avenir"/>
          <w:sz w:val="18"/>
          <w:szCs w:val="18"/>
        </w:rPr>
      </w:pPr>
      <w:r w:rsidRPr="005F6496">
        <w:rPr>
          <w:rFonts w:ascii="Avenir Book" w:hAnsi="Avenir Book"/>
          <w:sz w:val="18"/>
          <w:szCs w:val="18"/>
          <w:vertAlign w:val="superscript"/>
        </w:rPr>
        <w:footnoteRef/>
      </w:r>
      <w:r w:rsidRPr="005F6496">
        <w:rPr>
          <w:rFonts w:ascii="Avenir Book" w:eastAsia="Calibri" w:hAnsi="Avenir Book" w:cs="Calibri"/>
          <w:sz w:val="18"/>
          <w:szCs w:val="18"/>
        </w:rPr>
        <w:t xml:space="preserve"> </w:t>
      </w:r>
      <w:proofErr w:type="spellStart"/>
      <w:r w:rsidRPr="005F6496">
        <w:rPr>
          <w:rFonts w:ascii="Avenir Book" w:eastAsia="Avenir" w:hAnsi="Avenir Book" w:cs="Avenir"/>
          <w:sz w:val="18"/>
          <w:szCs w:val="18"/>
        </w:rPr>
        <w:t>Perriera</w:t>
      </w:r>
      <w:proofErr w:type="spellEnd"/>
      <w:r w:rsidRPr="005F6496">
        <w:rPr>
          <w:rFonts w:ascii="Avenir Book" w:eastAsia="Avenir" w:hAnsi="Avenir Book" w:cs="Avenir"/>
          <w:sz w:val="18"/>
          <w:szCs w:val="18"/>
        </w:rPr>
        <w:t xml:space="preserve"> LK, Reeves MF, Chen BA, Hohmann HL, Hayes J, </w:t>
      </w:r>
      <w:proofErr w:type="spellStart"/>
      <w:r w:rsidRPr="005F6496">
        <w:rPr>
          <w:rFonts w:ascii="Avenir Book" w:eastAsia="Avenir" w:hAnsi="Avenir Book" w:cs="Avenir"/>
          <w:sz w:val="18"/>
          <w:szCs w:val="18"/>
        </w:rPr>
        <w:t>Creinin</w:t>
      </w:r>
      <w:proofErr w:type="spellEnd"/>
      <w:r w:rsidRPr="005F6496">
        <w:rPr>
          <w:rFonts w:ascii="Avenir Book" w:eastAsia="Avenir" w:hAnsi="Avenir Book" w:cs="Avenir"/>
          <w:sz w:val="18"/>
          <w:szCs w:val="18"/>
        </w:rPr>
        <w:t xml:space="preserve"> MD. Feasibility of telephone follow-up after medical abortion. Contraception. 2010;81(2):143-9.</w:t>
      </w:r>
    </w:p>
  </w:footnote>
  <w:footnote w:id="15">
    <w:p w14:paraId="6D669D80" w14:textId="77777777" w:rsidR="00AA770A" w:rsidRDefault="00000000">
      <w:pPr>
        <w:rPr>
          <w:rFonts w:ascii="Avenir" w:eastAsia="Avenir" w:hAnsi="Avenir" w:cs="Avenir"/>
          <w:sz w:val="18"/>
          <w:szCs w:val="18"/>
        </w:rPr>
      </w:pPr>
      <w:r w:rsidRPr="005F6496">
        <w:rPr>
          <w:rFonts w:ascii="Avenir Book" w:hAnsi="Avenir Book"/>
          <w:sz w:val="18"/>
          <w:szCs w:val="18"/>
          <w:vertAlign w:val="superscript"/>
        </w:rPr>
        <w:footnoteRef/>
      </w:r>
      <w:r w:rsidRPr="005F6496">
        <w:rPr>
          <w:rFonts w:ascii="Avenir Book" w:eastAsia="Calibri" w:hAnsi="Avenir Book" w:cs="Calibri"/>
          <w:sz w:val="18"/>
          <w:szCs w:val="18"/>
        </w:rPr>
        <w:t xml:space="preserve"> </w:t>
      </w:r>
      <w:r w:rsidRPr="005F6496">
        <w:rPr>
          <w:rFonts w:ascii="Avenir Book" w:eastAsia="Avenir" w:hAnsi="Avenir Book" w:cs="Avenir"/>
          <w:sz w:val="18"/>
          <w:szCs w:val="18"/>
        </w:rPr>
        <w:t xml:space="preserve">Chen MJ, Rounds KC, </w:t>
      </w:r>
      <w:proofErr w:type="spellStart"/>
      <w:r w:rsidRPr="005F6496">
        <w:rPr>
          <w:rFonts w:ascii="Avenir Book" w:eastAsia="Avenir" w:hAnsi="Avenir Book" w:cs="Avenir"/>
          <w:sz w:val="18"/>
          <w:szCs w:val="18"/>
        </w:rPr>
        <w:t>Creinin</w:t>
      </w:r>
      <w:proofErr w:type="spellEnd"/>
      <w:r w:rsidRPr="005F6496">
        <w:rPr>
          <w:rFonts w:ascii="Avenir Book" w:eastAsia="Avenir" w:hAnsi="Avenir Book" w:cs="Avenir"/>
          <w:sz w:val="18"/>
          <w:szCs w:val="18"/>
        </w:rPr>
        <w:t xml:space="preserve"> MD, Casino C, Hou MY. Comparing office and telephone follow-up after medical abortion. Contraception. 2016;94(2):122-126.</w:t>
      </w:r>
    </w:p>
  </w:footnote>
  <w:footnote w:id="16">
    <w:p w14:paraId="6BC80963" w14:textId="4889D582" w:rsidR="009368AC" w:rsidRPr="001E6E81" w:rsidRDefault="009368AC">
      <w:pPr>
        <w:pStyle w:val="FootnoteText"/>
        <w:rPr>
          <w:rFonts w:ascii="Avenir Book" w:hAnsi="Avenir Book"/>
          <w:sz w:val="16"/>
          <w:szCs w:val="16"/>
        </w:rPr>
      </w:pPr>
      <w:r w:rsidRPr="001E6E81">
        <w:rPr>
          <w:rStyle w:val="FootnoteReference"/>
          <w:rFonts w:ascii="Avenir Book" w:hAnsi="Avenir Book"/>
          <w:sz w:val="16"/>
          <w:szCs w:val="16"/>
        </w:rPr>
        <w:footnoteRef/>
      </w:r>
      <w:r w:rsidRPr="001E6E81">
        <w:rPr>
          <w:rFonts w:ascii="Avenir Book" w:hAnsi="Avenir Book"/>
          <w:sz w:val="16"/>
          <w:szCs w:val="16"/>
        </w:rPr>
        <w:t xml:space="preserve"> Raymond EG, Weaver MA, Louie KS, et al. Effects of Depot Medroxyprogesterone Acetate Injection Timing on Medical Abortion Efficacy and Repeat Pregnancy: A Randomized Controlled Trial. </w:t>
      </w:r>
      <w:proofErr w:type="spellStart"/>
      <w:r w:rsidRPr="001E6E81">
        <w:rPr>
          <w:rFonts w:ascii="Avenir Book" w:hAnsi="Avenir Book"/>
          <w:sz w:val="16"/>
          <w:szCs w:val="16"/>
        </w:rPr>
        <w:t>Obstet</w:t>
      </w:r>
      <w:proofErr w:type="spellEnd"/>
      <w:r w:rsidRPr="001E6E81">
        <w:rPr>
          <w:rFonts w:ascii="Avenir Book" w:hAnsi="Avenir Book"/>
          <w:sz w:val="16"/>
          <w:szCs w:val="16"/>
        </w:rPr>
        <w:t xml:space="preserve"> Gynecol. 2016;128(4):739-745. doi:10.1097/AOG.0000000000001627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5234" w14:textId="77777777" w:rsidR="00AA770A" w:rsidRDefault="00AA770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7BB4" w14:textId="77777777" w:rsidR="00AA770A" w:rsidRDefault="00AA770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9084" w14:textId="77777777" w:rsidR="00AA770A" w:rsidRDefault="00AA770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243C"/>
    <w:multiLevelType w:val="hybridMultilevel"/>
    <w:tmpl w:val="890AE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E2A67"/>
    <w:multiLevelType w:val="multilevel"/>
    <w:tmpl w:val="D17C3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06666C"/>
    <w:multiLevelType w:val="hybridMultilevel"/>
    <w:tmpl w:val="070ED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9082238"/>
    <w:multiLevelType w:val="multilevel"/>
    <w:tmpl w:val="D318F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9C3F1E"/>
    <w:multiLevelType w:val="hybridMultilevel"/>
    <w:tmpl w:val="1068A53A"/>
    <w:lvl w:ilvl="0" w:tplc="1ACC4644">
      <w:start w:val="2"/>
      <w:numFmt w:val="bullet"/>
      <w:lvlText w:val=""/>
      <w:lvlJc w:val="left"/>
      <w:pPr>
        <w:ind w:left="720" w:hanging="360"/>
      </w:pPr>
      <w:rPr>
        <w:rFonts w:ascii="Symbol" w:eastAsia="Avenir" w:hAnsi="Symbol" w:cs="Aveni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AE7754"/>
    <w:multiLevelType w:val="multilevel"/>
    <w:tmpl w:val="58D09A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614025213">
    <w:abstractNumId w:val="5"/>
  </w:num>
  <w:num w:numId="2" w16cid:durableId="363943634">
    <w:abstractNumId w:val="1"/>
  </w:num>
  <w:num w:numId="3" w16cid:durableId="1908346417">
    <w:abstractNumId w:val="2"/>
  </w:num>
  <w:num w:numId="4" w16cid:durableId="638649754">
    <w:abstractNumId w:val="0"/>
  </w:num>
  <w:num w:numId="5" w16cid:durableId="244194618">
    <w:abstractNumId w:val="3"/>
  </w:num>
  <w:num w:numId="6" w16cid:durableId="20400835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70A"/>
    <w:rsid w:val="000F7C66"/>
    <w:rsid w:val="0013731A"/>
    <w:rsid w:val="00156D68"/>
    <w:rsid w:val="001E6E81"/>
    <w:rsid w:val="00424433"/>
    <w:rsid w:val="004B4793"/>
    <w:rsid w:val="004D7B04"/>
    <w:rsid w:val="005F6496"/>
    <w:rsid w:val="00663865"/>
    <w:rsid w:val="00683C12"/>
    <w:rsid w:val="00710482"/>
    <w:rsid w:val="0081058F"/>
    <w:rsid w:val="008E76E4"/>
    <w:rsid w:val="009368AC"/>
    <w:rsid w:val="00944245"/>
    <w:rsid w:val="00AA770A"/>
    <w:rsid w:val="00AB27D4"/>
    <w:rsid w:val="00AC1528"/>
    <w:rsid w:val="00AC71F5"/>
    <w:rsid w:val="00AF573B"/>
    <w:rsid w:val="00BD796B"/>
    <w:rsid w:val="00C60F25"/>
    <w:rsid w:val="00CA5A6C"/>
    <w:rsid w:val="00D21457"/>
    <w:rsid w:val="00DA5405"/>
    <w:rsid w:val="00E348A9"/>
    <w:rsid w:val="00FF4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F5147"/>
  <w15:docId w15:val="{C26F0FC8-F09B-4948-B871-FD1F1388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widowControl w:val="0"/>
      <w:jc w:val="center"/>
      <w:outlineLvl w:val="0"/>
    </w:pPr>
    <w:rPr>
      <w:b/>
      <w:sz w:val="32"/>
      <w:szCs w:val="32"/>
    </w:rPr>
  </w:style>
  <w:style w:type="paragraph" w:styleId="Heading2">
    <w:name w:val="heading 2"/>
    <w:basedOn w:val="Normal1"/>
    <w:next w:val="Normal1"/>
    <w:uiPriority w:val="9"/>
    <w:unhideWhenUsed/>
    <w:qFormat/>
    <w:pPr>
      <w:keepNext/>
      <w:keepLines/>
      <w:outlineLvl w:val="1"/>
    </w:pPr>
    <w:rPr>
      <w:b/>
    </w:rPr>
  </w:style>
  <w:style w:type="paragraph" w:styleId="Heading3">
    <w:name w:val="heading 3"/>
    <w:basedOn w:val="Normal1"/>
    <w:next w:val="Normal1"/>
    <w:uiPriority w:val="9"/>
    <w:semiHidden/>
    <w:unhideWhenUsed/>
    <w:qFormat/>
    <w:pPr>
      <w:keepNext/>
      <w:keepLines/>
      <w:outlineLvl w:val="2"/>
    </w:pPr>
    <w:rPr>
      <w:sz w:val="34"/>
      <w:szCs w:val="34"/>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F6496"/>
    <w:pPr>
      <w:ind w:left="720"/>
      <w:contextualSpacing/>
    </w:pPr>
  </w:style>
  <w:style w:type="paragraph" w:styleId="Revision">
    <w:name w:val="Revision"/>
    <w:hidden/>
    <w:uiPriority w:val="99"/>
    <w:semiHidden/>
    <w:rsid w:val="00E348A9"/>
  </w:style>
  <w:style w:type="character" w:styleId="Hyperlink">
    <w:name w:val="Hyperlink"/>
    <w:basedOn w:val="DefaultParagraphFont"/>
    <w:uiPriority w:val="99"/>
    <w:unhideWhenUsed/>
    <w:rsid w:val="00AF573B"/>
    <w:rPr>
      <w:color w:val="0000FF" w:themeColor="hyperlink"/>
      <w:u w:val="single"/>
    </w:rPr>
  </w:style>
  <w:style w:type="character" w:styleId="UnresolvedMention">
    <w:name w:val="Unresolved Mention"/>
    <w:basedOn w:val="DefaultParagraphFont"/>
    <w:uiPriority w:val="99"/>
    <w:semiHidden/>
    <w:unhideWhenUsed/>
    <w:rsid w:val="00AF573B"/>
    <w:rPr>
      <w:color w:val="605E5C"/>
      <w:shd w:val="clear" w:color="auto" w:fill="E1DFDD"/>
    </w:rPr>
  </w:style>
  <w:style w:type="paragraph" w:styleId="FootnoteText">
    <w:name w:val="footnote text"/>
    <w:basedOn w:val="Normal"/>
    <w:link w:val="FootnoteTextChar"/>
    <w:uiPriority w:val="99"/>
    <w:semiHidden/>
    <w:unhideWhenUsed/>
    <w:rsid w:val="00FF45CC"/>
    <w:rPr>
      <w:sz w:val="20"/>
      <w:szCs w:val="20"/>
    </w:rPr>
  </w:style>
  <w:style w:type="character" w:customStyle="1" w:styleId="FootnoteTextChar">
    <w:name w:val="Footnote Text Char"/>
    <w:basedOn w:val="DefaultParagraphFont"/>
    <w:link w:val="FootnoteText"/>
    <w:uiPriority w:val="99"/>
    <w:semiHidden/>
    <w:rsid w:val="00FF45CC"/>
    <w:rPr>
      <w:sz w:val="20"/>
      <w:szCs w:val="20"/>
    </w:rPr>
  </w:style>
  <w:style w:type="character" w:styleId="FootnoteReference">
    <w:name w:val="footnote reference"/>
    <w:basedOn w:val="DefaultParagraphFont"/>
    <w:uiPriority w:val="99"/>
    <w:semiHidden/>
    <w:unhideWhenUsed/>
    <w:rsid w:val="00FF45CC"/>
    <w:rPr>
      <w:vertAlign w:val="superscript"/>
    </w:rPr>
  </w:style>
  <w:style w:type="paragraph" w:customStyle="1" w:styleId="c-bibliographic-informationcitation">
    <w:name w:val="c-bibliographic-information__citation"/>
    <w:basedOn w:val="Normal"/>
    <w:rsid w:val="00D214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813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dicationabortionpharmacies.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hites.org/tmab-ma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uttmacher.org/united-states/abortion/state-policies-abort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uttmacher.org/united-states/abortion/state-policies-abor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yanetwork.org/the-issue-of-tissu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gGdvVeakrn8k7evvvfRWiMy/vA==">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1703</Words>
  <Characters>9711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Brandy Bautista</cp:lastModifiedBy>
  <cp:revision>3</cp:revision>
  <cp:lastPrinted>2023-02-01T23:02:00Z</cp:lastPrinted>
  <dcterms:created xsi:type="dcterms:W3CDTF">2025-06-05T21:59:00Z</dcterms:created>
  <dcterms:modified xsi:type="dcterms:W3CDTF">2025-06-05T21:59:00Z</dcterms:modified>
</cp:coreProperties>
</file>