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20" w:before="120" w:lineRule="auto"/>
        <w:jc w:val="center"/>
        <w:rPr>
          <w:rFonts w:ascii="Avenir" w:cs="Avenir" w:eastAsia="Avenir" w:hAnsi="Avenir"/>
          <w:sz w:val="28"/>
          <w:szCs w:val="28"/>
          <w:vertAlign w:val="baseline"/>
        </w:rPr>
      </w:pPr>
      <w:r w:rsidDel="00000000" w:rsidR="00000000" w:rsidRPr="00000000">
        <w:rPr>
          <w:rFonts w:ascii="Avenir" w:cs="Avenir" w:eastAsia="Avenir" w:hAnsi="Avenir"/>
          <w:b w:val="1"/>
          <w:sz w:val="28"/>
          <w:szCs w:val="28"/>
          <w:vertAlign w:val="baseline"/>
          <w:rtl w:val="0"/>
        </w:rPr>
        <w:t xml:space="preserve">Coding For Vasectomies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The following codes can be used when performing vasectomies: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single"/>
          <w:shd w:fill="auto" w:val="clear"/>
          <w:vertAlign w:val="baseline"/>
          <w:rtl w:val="0"/>
        </w:rPr>
        <w:t xml:space="preserve">ICD-10 Diagnosis Codes</w:t>
      </w:r>
      <w:r w:rsidDel="00000000" w:rsidR="00000000" w:rsidRPr="00000000">
        <w:rPr>
          <w:rtl w:val="0"/>
        </w:rPr>
      </w:r>
    </w:p>
    <w:p w:rsidR="00000000" w:rsidDel="00000000" w:rsidP="00000000" w:rsidRDefault="00000000" w:rsidRPr="00000000" w14:paraId="00000006">
      <w:pPr>
        <w:ind w:left="0" w:firstLine="0"/>
        <w:rPr>
          <w:rFonts w:ascii="Avenir" w:cs="Avenir" w:eastAsia="Avenir" w:hAnsi="Avenir"/>
          <w:b w:val="1"/>
          <w:i w:val="1"/>
          <w:sz w:val="20"/>
          <w:szCs w:val="20"/>
        </w:rPr>
      </w:pPr>
      <w:r w:rsidDel="00000000" w:rsidR="00000000" w:rsidRPr="00000000">
        <w:rPr>
          <w:rFonts w:ascii="Avenir" w:cs="Avenir" w:eastAsia="Avenir" w:hAnsi="Avenir"/>
          <w:b w:val="1"/>
          <w:sz w:val="20"/>
          <w:szCs w:val="20"/>
          <w:rtl w:val="0"/>
        </w:rPr>
        <w:t xml:space="preserve">Z30.09   </w:t>
      </w:r>
      <w:r w:rsidDel="00000000" w:rsidR="00000000" w:rsidRPr="00000000">
        <w:rPr>
          <w:rFonts w:ascii="Avenir" w:cs="Avenir" w:eastAsia="Avenir" w:hAnsi="Avenir"/>
          <w:sz w:val="20"/>
          <w:szCs w:val="20"/>
          <w:rtl w:val="0"/>
        </w:rPr>
        <w:t xml:space="preserve">Encounter for other general counseling and advice on contraception</w:t>
      </w:r>
      <w:r w:rsidDel="00000000" w:rsidR="00000000" w:rsidRPr="00000000">
        <w:rPr>
          <w:rFonts w:ascii="Avenir" w:cs="Avenir" w:eastAsia="Avenir" w:hAnsi="Avenir"/>
          <w:i w:val="1"/>
          <w:sz w:val="20"/>
          <w:szCs w:val="20"/>
          <w:rtl w:val="0"/>
        </w:rPr>
        <w:t xml:space="preserve"> (applicable to   </w:t>
        <w:tab/>
        <w:tab/>
        <w:tab/>
        <w:t xml:space="preserve">  consultation)</w:t>
      </w:r>
      <w:r w:rsidDel="00000000" w:rsidR="00000000" w:rsidRPr="00000000">
        <w:rPr>
          <w:rtl w:val="0"/>
        </w:rPr>
      </w:r>
    </w:p>
    <w:p w:rsidR="00000000" w:rsidDel="00000000" w:rsidP="00000000" w:rsidRDefault="00000000" w:rsidRPr="00000000" w14:paraId="00000007">
      <w:pPr>
        <w:rPr>
          <w:rFonts w:ascii="Avenir" w:cs="Avenir" w:eastAsia="Avenir" w:hAnsi="Avenir"/>
          <w:i w:val="1"/>
          <w:sz w:val="20"/>
          <w:szCs w:val="20"/>
        </w:rPr>
      </w:pPr>
      <w:r w:rsidDel="00000000" w:rsidR="00000000" w:rsidRPr="00000000">
        <w:rPr>
          <w:rFonts w:ascii="Avenir" w:cs="Avenir" w:eastAsia="Avenir" w:hAnsi="Avenir"/>
          <w:b w:val="1"/>
          <w:sz w:val="20"/>
          <w:szCs w:val="20"/>
          <w:rtl w:val="0"/>
        </w:rPr>
        <w:t xml:space="preserve">Z30.2    </w:t>
      </w:r>
      <w:r w:rsidDel="00000000" w:rsidR="00000000" w:rsidRPr="00000000">
        <w:rPr>
          <w:rFonts w:ascii="Avenir" w:cs="Avenir" w:eastAsia="Avenir" w:hAnsi="Avenir"/>
          <w:sz w:val="20"/>
          <w:szCs w:val="20"/>
          <w:rtl w:val="0"/>
        </w:rPr>
        <w:t xml:space="preserve"> Encounter for sterilization</w:t>
      </w:r>
      <w:r w:rsidDel="00000000" w:rsidR="00000000" w:rsidRPr="00000000">
        <w:rPr>
          <w:rFonts w:ascii="Avenir" w:cs="Avenir" w:eastAsia="Avenir" w:hAnsi="Avenir"/>
          <w:i w:val="1"/>
          <w:sz w:val="20"/>
          <w:szCs w:val="20"/>
          <w:rtl w:val="0"/>
        </w:rPr>
        <w:t xml:space="preserve"> (applicable to confirmed surgery)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1"/>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Z30.8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Encounter for other contraceptive management </w:t>
      </w: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(applicable to post-vasectomy sperm  </w:t>
        <w:tab/>
        <w:tab/>
        <w:tab/>
        <w:t xml:space="preserve"> count)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Z30.40</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Encounter for surveillance of contraceptives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Z98.52</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r w:rsidDel="00000000" w:rsidR="00000000" w:rsidRPr="00000000">
        <w:rPr>
          <w:rFonts w:ascii="Avenir" w:cs="Avenir" w:eastAsia="Avenir" w:hAnsi="Avenir"/>
          <w:sz w:val="20"/>
          <w:szCs w:val="20"/>
          <w:rtl w:val="0"/>
        </w:rPr>
        <w:t xml:space="preserve">Vasectomy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status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Avenir" w:cs="Avenir" w:eastAsia="Avenir" w:hAnsi="Avenir"/>
          <w:b w:val="1"/>
          <w:sz w:val="20"/>
          <w:szCs w:val="20"/>
          <w:u w:val="single"/>
          <w:vertAlign w:val="baseline"/>
        </w:rPr>
      </w:pPr>
      <w:r w:rsidDel="00000000" w:rsidR="00000000" w:rsidRPr="00000000">
        <w:rPr>
          <w:rFonts w:ascii="Avenir" w:cs="Avenir" w:eastAsia="Avenir" w:hAnsi="Avenir"/>
          <w:b w:val="1"/>
          <w:sz w:val="20"/>
          <w:szCs w:val="20"/>
          <w:u w:val="single"/>
          <w:vertAlign w:val="baseline"/>
          <w:rtl w:val="0"/>
        </w:rPr>
        <w:t xml:space="preserve">Outpatient Procedure Codes - CPT Codes</w:t>
      </w:r>
    </w:p>
    <w:p w:rsidR="00000000" w:rsidDel="00000000" w:rsidP="00000000" w:rsidRDefault="00000000" w:rsidRPr="00000000" w14:paraId="0000000D">
      <w:pPr>
        <w:rPr>
          <w:rFonts w:ascii="Avenir" w:cs="Avenir" w:eastAsia="Avenir" w:hAnsi="Avenir"/>
          <w:sz w:val="20"/>
          <w:szCs w:val="20"/>
          <w:vertAlign w:val="baseline"/>
        </w:rPr>
      </w:pPr>
      <w:r w:rsidDel="00000000" w:rsidR="00000000" w:rsidRPr="00000000">
        <w:rPr>
          <w:rFonts w:ascii="Avenir" w:cs="Avenir" w:eastAsia="Avenir" w:hAnsi="Avenir"/>
          <w:b w:val="1"/>
          <w:sz w:val="20"/>
          <w:szCs w:val="20"/>
          <w:vertAlign w:val="baseline"/>
          <w:rtl w:val="0"/>
        </w:rPr>
        <w:t xml:space="preserve">55250</w:t>
      </w:r>
      <w:r w:rsidDel="00000000" w:rsidR="00000000" w:rsidRPr="00000000">
        <w:rPr>
          <w:rFonts w:ascii="Avenir" w:cs="Avenir" w:eastAsia="Avenir" w:hAnsi="Avenir"/>
          <w:sz w:val="20"/>
          <w:szCs w:val="20"/>
          <w:vertAlign w:val="baseline"/>
          <w:rtl w:val="0"/>
        </w:rPr>
        <w:t xml:space="preserve">   Encounter Vasectomy, unilateral or bilateral (separate procedure), including </w:t>
        <w:tab/>
        <w:tab/>
        <w:tab/>
        <w:tab/>
        <w:t xml:space="preserve">postoperative</w:t>
      </w:r>
      <w:r w:rsidDel="00000000" w:rsidR="00000000" w:rsidRPr="00000000">
        <w:rPr>
          <w:rFonts w:ascii="Avenir" w:cs="Avenir" w:eastAsia="Avenir" w:hAnsi="Avenir"/>
          <w:sz w:val="20"/>
          <w:szCs w:val="20"/>
          <w:rtl w:val="0"/>
        </w:rPr>
        <w:t xml:space="preserve"> </w:t>
      </w:r>
      <w:r w:rsidDel="00000000" w:rsidR="00000000" w:rsidRPr="00000000">
        <w:rPr>
          <w:rFonts w:ascii="Avenir" w:cs="Avenir" w:eastAsia="Avenir" w:hAnsi="Avenir"/>
          <w:sz w:val="20"/>
          <w:szCs w:val="20"/>
          <w:vertAlign w:val="baseline"/>
          <w:rtl w:val="0"/>
        </w:rPr>
        <w:t xml:space="preserve">semen examination(s)  </w:t>
      </w:r>
    </w:p>
    <w:p w:rsidR="00000000" w:rsidDel="00000000" w:rsidP="00000000" w:rsidRDefault="00000000" w:rsidRPr="00000000" w14:paraId="0000000E">
      <w:pPr>
        <w:rPr>
          <w:rFonts w:ascii="Avenir" w:cs="Avenir" w:eastAsia="Avenir" w:hAnsi="Avenir"/>
          <w:sz w:val="20"/>
          <w:szCs w:val="20"/>
        </w:rPr>
      </w:pPr>
      <w:r w:rsidDel="00000000" w:rsidR="00000000" w:rsidRPr="00000000">
        <w:rPr>
          <w:rFonts w:ascii="Avenir" w:cs="Avenir" w:eastAsia="Avenir" w:hAnsi="Avenir"/>
          <w:b w:val="1"/>
          <w:sz w:val="20"/>
          <w:szCs w:val="20"/>
          <w:vertAlign w:val="baseline"/>
          <w:rtl w:val="0"/>
        </w:rPr>
        <w:t xml:space="preserve">89321</w:t>
      </w:r>
      <w:r w:rsidDel="00000000" w:rsidR="00000000" w:rsidRPr="00000000">
        <w:rPr>
          <w:rFonts w:ascii="Avenir" w:cs="Avenir" w:eastAsia="Avenir" w:hAnsi="Avenir"/>
          <w:sz w:val="20"/>
          <w:szCs w:val="20"/>
          <w:vertAlign w:val="baseline"/>
          <w:rtl w:val="0"/>
        </w:rPr>
        <w:t xml:space="preserve">   Semen analysis, presence and/or mobility of sperm (</w:t>
      </w:r>
      <w:r w:rsidDel="00000000" w:rsidR="00000000" w:rsidRPr="00000000">
        <w:rPr>
          <w:rFonts w:ascii="Avenir" w:cs="Avenir" w:eastAsia="Avenir" w:hAnsi="Avenir"/>
          <w:sz w:val="20"/>
          <w:szCs w:val="20"/>
          <w:rtl w:val="0"/>
        </w:rPr>
        <w:t xml:space="preserve">applicable</w:t>
      </w:r>
      <w:r w:rsidDel="00000000" w:rsidR="00000000" w:rsidRPr="00000000">
        <w:rPr>
          <w:rFonts w:ascii="Avenir" w:cs="Avenir" w:eastAsia="Avenir" w:hAnsi="Avenir"/>
          <w:sz w:val="20"/>
          <w:szCs w:val="20"/>
          <w:vertAlign w:val="baseline"/>
          <w:rtl w:val="0"/>
        </w:rPr>
        <w:t xml:space="preserve"> only if vasectomy </w:t>
        <w:tab/>
        <w:tab/>
        <w:tab/>
        <w:t xml:space="preserve">performed</w:t>
      </w:r>
      <w:r w:rsidDel="00000000" w:rsidR="00000000" w:rsidRPr="00000000">
        <w:rPr>
          <w:rFonts w:ascii="Avenir" w:cs="Avenir" w:eastAsia="Avenir" w:hAnsi="Avenir"/>
          <w:sz w:val="20"/>
          <w:szCs w:val="20"/>
          <w:rtl w:val="0"/>
        </w:rPr>
        <w:t xml:space="preserve"> </w:t>
      </w:r>
      <w:r w:rsidDel="00000000" w:rsidR="00000000" w:rsidRPr="00000000">
        <w:rPr>
          <w:rFonts w:ascii="Avenir" w:cs="Avenir" w:eastAsia="Avenir" w:hAnsi="Avenir"/>
          <w:sz w:val="20"/>
          <w:szCs w:val="20"/>
          <w:vertAlign w:val="baseline"/>
          <w:rtl w:val="0"/>
        </w:rPr>
        <w:t xml:space="preserve">elsewhere)</w:t>
      </w:r>
      <w:r w:rsidDel="00000000" w:rsidR="00000000" w:rsidRPr="00000000">
        <w:rPr>
          <w:rtl w:val="0"/>
        </w:rPr>
      </w:r>
    </w:p>
    <w:p w:rsidR="00000000" w:rsidDel="00000000" w:rsidP="00000000" w:rsidRDefault="00000000" w:rsidRPr="00000000" w14:paraId="0000000F">
      <w:pPr>
        <w:rPr>
          <w:rFonts w:ascii="Avenir" w:cs="Avenir" w:eastAsia="Avenir" w:hAnsi="Avenir"/>
          <w:sz w:val="20"/>
          <w:szCs w:val="20"/>
          <w:vertAlign w:val="baseline"/>
        </w:rPr>
      </w:pPr>
      <w:r w:rsidDel="00000000" w:rsidR="00000000" w:rsidRPr="00000000">
        <w:rPr>
          <w:rFonts w:ascii="Avenir" w:cs="Avenir" w:eastAsia="Avenir" w:hAnsi="Avenir"/>
          <w:b w:val="1"/>
          <w:sz w:val="20"/>
          <w:szCs w:val="20"/>
          <w:vertAlign w:val="baseline"/>
          <w:rtl w:val="0"/>
        </w:rPr>
        <w:t xml:space="preserve">G0027</w:t>
      </w:r>
      <w:r w:rsidDel="00000000" w:rsidR="00000000" w:rsidRPr="00000000">
        <w:rPr>
          <w:rFonts w:ascii="Avenir" w:cs="Avenir" w:eastAsia="Avenir" w:hAnsi="Avenir"/>
          <w:sz w:val="20"/>
          <w:szCs w:val="20"/>
          <w:vertAlign w:val="baseline"/>
          <w:rtl w:val="0"/>
        </w:rPr>
        <w:t xml:space="preserve">  Semen analysis; presence and/or motility of sperm excluding Huhner </w:t>
      </w:r>
      <w:r w:rsidDel="00000000" w:rsidR="00000000" w:rsidRPr="00000000">
        <w:rPr>
          <w:rFonts w:ascii="Avenir" w:cs="Avenir" w:eastAsia="Avenir" w:hAnsi="Avenir"/>
          <w:sz w:val="20"/>
          <w:szCs w:val="20"/>
          <w:vertAlign w:val="baseline"/>
          <w:rtl w:val="0"/>
        </w:rPr>
        <w:t xml:space="preserve">(if performing in</w:t>
      </w:r>
    </w:p>
    <w:p w:rsidR="00000000" w:rsidDel="00000000" w:rsidP="00000000" w:rsidRDefault="00000000" w:rsidRPr="00000000" w14:paraId="00000010">
      <w:pPr>
        <w:ind w:firstLine="720"/>
        <w:rPr>
          <w:rFonts w:ascii="Avenir" w:cs="Avenir" w:eastAsia="Avenir" w:hAnsi="Avenir"/>
          <w:i w:val="0"/>
          <w:smallCaps w:val="0"/>
          <w:strike w:val="0"/>
          <w:color w:val="000000"/>
          <w:sz w:val="20"/>
          <w:szCs w:val="20"/>
          <w:u w:val="none"/>
          <w:shd w:fill="auto" w:val="clear"/>
          <w:vertAlign w:val="baseline"/>
        </w:rPr>
      </w:pPr>
      <w:r w:rsidDel="00000000" w:rsidR="00000000" w:rsidRPr="00000000">
        <w:rPr>
          <w:rFonts w:ascii="Avenir" w:cs="Avenir" w:eastAsia="Avenir" w:hAnsi="Avenir"/>
          <w:sz w:val="20"/>
          <w:szCs w:val="20"/>
          <w:vertAlign w:val="baseline"/>
          <w:rtl w:val="0"/>
        </w:rPr>
        <w:t xml:space="preserve">clinic/office)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1440" w:right="0" w:hanging="720"/>
        <w:jc w:val="left"/>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right="0"/>
        <w:jc w:val="left"/>
        <w:rPr>
          <w:rFonts w:ascii="Avenir" w:cs="Avenir" w:eastAsia="Avenir" w:hAnsi="Avenir"/>
          <w:b w:val="1"/>
          <w:sz w:val="20"/>
          <w:szCs w:val="20"/>
          <w:u w:val="single"/>
        </w:rPr>
      </w:pPr>
      <w:r w:rsidDel="00000000" w:rsidR="00000000" w:rsidRPr="00000000">
        <w:rPr>
          <w:rFonts w:ascii="Avenir" w:cs="Avenir" w:eastAsia="Avenir" w:hAnsi="Avenir"/>
          <w:b w:val="1"/>
          <w:sz w:val="20"/>
          <w:szCs w:val="20"/>
          <w:u w:val="single"/>
          <w:rtl w:val="0"/>
        </w:rPr>
        <w:t xml:space="preserve">Surgical Trays and Supplies</w:t>
      </w:r>
    </w:p>
    <w:p w:rsidR="00000000" w:rsidDel="00000000" w:rsidP="00000000" w:rsidRDefault="00000000" w:rsidRPr="00000000" w14:paraId="00000013">
      <w:pPr>
        <w:spacing w:after="2" w:before="2" w:lineRule="auto"/>
        <w:ind w:left="720"/>
        <w:rPr>
          <w:rFonts w:ascii="Avenir" w:cs="Avenir" w:eastAsia="Avenir" w:hAnsi="Avenir"/>
          <w:b w:val="1"/>
          <w:sz w:val="20"/>
          <w:szCs w:val="20"/>
        </w:rPr>
      </w:pPr>
      <w:r w:rsidDel="00000000" w:rsidR="00000000" w:rsidRPr="00000000">
        <w:rPr>
          <w:rFonts w:ascii="Avenir" w:cs="Avenir" w:eastAsia="Avenir" w:hAnsi="Avenir"/>
          <w:sz w:val="20"/>
          <w:szCs w:val="20"/>
          <w:rtl w:val="0"/>
        </w:rPr>
        <w:t xml:space="preserve">A4267   Condoms (external only)</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right="0"/>
        <w:jc w:val="left"/>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A4550</w:t>
      </w:r>
      <w:r w:rsidDel="00000000" w:rsidR="00000000" w:rsidRPr="00000000">
        <w:rPr>
          <w:rFonts w:ascii="Avenir" w:cs="Avenir" w:eastAsia="Avenir" w:hAnsi="Avenir"/>
          <w:sz w:val="20"/>
          <w:szCs w:val="20"/>
          <w:rtl w:val="0"/>
        </w:rPr>
        <w:t xml:space="preserve">   Surgical trays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right="0"/>
        <w:jc w:val="left"/>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99070</w:t>
      </w:r>
      <w:r w:rsidDel="00000000" w:rsidR="00000000" w:rsidRPr="00000000">
        <w:rPr>
          <w:rFonts w:ascii="Avenir" w:cs="Avenir" w:eastAsia="Avenir" w:hAnsi="Avenir"/>
          <w:sz w:val="20"/>
          <w:szCs w:val="20"/>
          <w:rtl w:val="0"/>
        </w:rPr>
        <w:t xml:space="preserve">   Supplies and materials (except spectacles), provided by the physician or other qualified health</w:t>
        <w:tab/>
        <w:tab/>
        <w:t xml:space="preserve">care professional over and above those usually included with the office visit or other services</w:t>
        <w:tab/>
        <w:tab/>
        <w:t xml:space="preserve">rendered (list drugs, trays, supplies, or materials provided)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7">
      <w:pPr>
        <w:rPr>
          <w:rFonts w:ascii="Avenir" w:cs="Avenir" w:eastAsia="Avenir" w:hAnsi="Avenir"/>
          <w:b w:val="1"/>
          <w:sz w:val="20"/>
          <w:szCs w:val="20"/>
          <w:u w:val="single"/>
        </w:rPr>
      </w:pPr>
      <w:r w:rsidDel="00000000" w:rsidR="00000000" w:rsidRPr="00000000">
        <w:rPr>
          <w:rFonts w:ascii="Avenir" w:cs="Avenir" w:eastAsia="Avenir" w:hAnsi="Avenir"/>
          <w:b w:val="1"/>
          <w:sz w:val="20"/>
          <w:szCs w:val="20"/>
          <w:u w:val="single"/>
          <w:vertAlign w:val="baseline"/>
          <w:rtl w:val="0"/>
        </w:rPr>
        <w:t xml:space="preserve">Evaluation and Management (E/M) Codes</w:t>
      </w:r>
      <w:r w:rsidDel="00000000" w:rsidR="00000000" w:rsidRPr="00000000">
        <w:rPr>
          <w:rtl w:val="0"/>
        </w:rPr>
      </w:r>
    </w:p>
    <w:p w:rsidR="00000000" w:rsidDel="00000000" w:rsidP="00000000" w:rsidRDefault="00000000" w:rsidRPr="00000000" w14:paraId="00000018">
      <w:pPr>
        <w:rPr>
          <w:rFonts w:ascii="Avenir" w:cs="Avenir" w:eastAsia="Avenir" w:hAnsi="Avenir"/>
          <w:i w:val="0"/>
          <w:smallCaps w:val="0"/>
          <w:strike w:val="0"/>
          <w:color w:val="000000"/>
          <w:sz w:val="20"/>
          <w:szCs w:val="20"/>
          <w:u w:val="none"/>
          <w:shd w:fill="auto" w:val="clear"/>
          <w:vertAlign w:val="baseline"/>
        </w:rPr>
      </w:pPr>
      <w:r w:rsidDel="00000000" w:rsidR="00000000" w:rsidRPr="00000000">
        <w:rPr>
          <w:rFonts w:ascii="Avenir" w:cs="Avenir" w:eastAsia="Avenir" w:hAnsi="Avenir"/>
          <w:sz w:val="20"/>
          <w:szCs w:val="20"/>
          <w:vertAlign w:val="baseline"/>
          <w:rtl w:val="0"/>
        </w:rPr>
        <w:t xml:space="preserve">New (99202 – 99205) and established (99212 – 99215) client code selection is now based on an updated medical decision making (MDM) level OR time. Use the method most appropriate for the care given and results in the highest level code supported in the documentation. </w:t>
      </w:r>
      <w:r w:rsidDel="00000000" w:rsidR="00000000" w:rsidRPr="00000000">
        <w:rPr>
          <w:rFonts w:ascii="Avenir" w:cs="Avenir" w:eastAsia="Avenir" w:hAnsi="Avenir"/>
          <w:i w:val="1"/>
          <w:smallCaps w:val="0"/>
          <w:strike w:val="0"/>
          <w:color w:val="000000"/>
          <w:sz w:val="20"/>
          <w:szCs w:val="20"/>
          <w:u w:val="none"/>
          <w:shd w:fill="auto" w:val="clear"/>
          <w:vertAlign w:val="baseline"/>
          <w:rtl w:val="0"/>
        </w:rPr>
        <w:t xml:space="preserve">For further guidance on using E/M codes, see the </w:t>
      </w:r>
      <w:hyperlink r:id="rId7">
        <w:r w:rsidDel="00000000" w:rsidR="00000000" w:rsidRPr="00000000">
          <w:rPr>
            <w:rFonts w:ascii="Avenir" w:cs="Avenir" w:eastAsia="Avenir" w:hAnsi="Avenir"/>
            <w:i w:val="1"/>
            <w:smallCaps w:val="0"/>
            <w:strike w:val="0"/>
            <w:color w:val="0000ff"/>
            <w:sz w:val="20"/>
            <w:szCs w:val="20"/>
            <w:u w:val="single"/>
            <w:shd w:fill="auto" w:val="clear"/>
            <w:vertAlign w:val="baseline"/>
            <w:rtl w:val="0"/>
          </w:rPr>
          <w:t xml:space="preserve">Reproductive Health National Training Center’s E/M Job Aid</w:t>
        </w:r>
      </w:hyperlink>
      <w:r w:rsidDel="00000000" w:rsidR="00000000" w:rsidRPr="00000000">
        <w:rPr>
          <w:rFonts w:ascii="Avenir" w:cs="Avenir" w:eastAsia="Avenir" w:hAnsi="Avenir"/>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Coding by MDM</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level is based on the highest 2 out of the 3 elements:</w:t>
      </w:r>
    </w:p>
    <w:tbl>
      <w:tblPr>
        <w:tblStyle w:val="Table1"/>
        <w:tblW w:w="77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8"/>
        <w:gridCol w:w="1710"/>
        <w:gridCol w:w="2430"/>
        <w:gridCol w:w="2070"/>
        <w:tblGridChange w:id="0">
          <w:tblGrid>
            <w:gridCol w:w="1548"/>
            <w:gridCol w:w="1710"/>
            <w:gridCol w:w="2430"/>
            <w:gridCol w:w="2070"/>
          </w:tblGrid>
        </w:tblGridChange>
      </w:tblGrid>
      <w:tr>
        <w:trPr>
          <w:cantSplit w:val="0"/>
          <w:trHeight w:val="449" w:hRule="atLeast"/>
          <w:tblHeader w:val="0"/>
        </w:trPr>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Problems</w:t>
            </w:r>
          </w:p>
        </w:tc>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Data</w:t>
            </w:r>
          </w:p>
        </w:tc>
        <w:tc>
          <w:tcP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Risk</w:t>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E/M Code</w:t>
            </w:r>
          </w:p>
        </w:tc>
      </w:tr>
      <w:tr>
        <w:trPr>
          <w:cantSplit w:val="0"/>
          <w:tblHeader w:val="0"/>
        </w:trPr>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Minimal</w:t>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Minimal or none</w:t>
            </w:r>
          </w:p>
        </w:tc>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Minimal risk of morbidity</w:t>
            </w:r>
          </w:p>
        </w:tc>
        <w:tc>
          <w:tcP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99202; 99212</w:t>
            </w:r>
          </w:p>
        </w:tc>
      </w:tr>
      <w:tr>
        <w:trPr>
          <w:cantSplit w:val="0"/>
          <w:tblHeader w:val="0"/>
        </w:trPr>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Low</w:t>
            </w:r>
          </w:p>
        </w:tc>
        <w:tc>
          <w:tcP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Limited</w:t>
            </w:r>
          </w:p>
        </w:tc>
        <w:tc>
          <w:tcP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Low risk of morbidity</w:t>
            </w:r>
          </w:p>
        </w:tc>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99203; 99213</w:t>
            </w:r>
          </w:p>
        </w:tc>
      </w:tr>
      <w:tr>
        <w:trPr>
          <w:cantSplit w:val="0"/>
          <w:tblHeader w:val="0"/>
        </w:trPr>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Moderate</w:t>
            </w:r>
          </w:p>
        </w:tc>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Moderate</w:t>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Moderate</w:t>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99204; 99214</w:t>
            </w:r>
          </w:p>
        </w:tc>
      </w:tr>
      <w:tr>
        <w:trPr>
          <w:cantSplit w:val="0"/>
          <w:tblHeader w:val="0"/>
        </w:trPr>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High</w:t>
            </w:r>
          </w:p>
        </w:tc>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Extensive</w:t>
            </w:r>
          </w:p>
        </w:tc>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High risk of morbidity</w:t>
            </w:r>
          </w:p>
        </w:tc>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99205; 99215</w:t>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Coding by Time</w:t>
      </w:r>
      <w:r w:rsidDel="00000000" w:rsidR="00000000" w:rsidRPr="00000000">
        <w:rPr>
          <w:rtl w:val="0"/>
        </w:rPr>
      </w:r>
    </w:p>
    <w:tbl>
      <w:tblPr>
        <w:tblStyle w:val="Table2"/>
        <w:tblW w:w="68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8"/>
        <w:gridCol w:w="1710"/>
        <w:gridCol w:w="1980"/>
        <w:gridCol w:w="1620"/>
        <w:tblGridChange w:id="0">
          <w:tblGrid>
            <w:gridCol w:w="1548"/>
            <w:gridCol w:w="1710"/>
            <w:gridCol w:w="1980"/>
            <w:gridCol w:w="1620"/>
          </w:tblGrid>
        </w:tblGridChange>
      </w:tblGrid>
      <w:tr>
        <w:trPr>
          <w:cantSplit w:val="0"/>
          <w:tblHeader w:val="0"/>
        </w:trPr>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New Patient</w:t>
            </w:r>
          </w:p>
        </w:tc>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Time</w:t>
            </w:r>
          </w:p>
        </w:tc>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Established Patient</w:t>
            </w:r>
          </w:p>
        </w:tc>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Time</w:t>
            </w:r>
          </w:p>
        </w:tc>
      </w:tr>
      <w:tr>
        <w:trPr>
          <w:cantSplit w:val="0"/>
          <w:tblHeader w:val="0"/>
        </w:trPr>
        <w:tc>
          <w:tcP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99202</w:t>
            </w:r>
          </w:p>
        </w:tc>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15-29 min</w:t>
            </w:r>
          </w:p>
        </w:tc>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99212</w:t>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10-19 min</w:t>
            </w:r>
          </w:p>
        </w:tc>
      </w:tr>
      <w:tr>
        <w:trPr>
          <w:cantSplit w:val="0"/>
          <w:tblHeader w:val="0"/>
        </w:trPr>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99203</w:t>
            </w:r>
          </w:p>
        </w:tc>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30-44 min</w:t>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99213</w:t>
            </w:r>
          </w:p>
        </w:tc>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20-29 min</w:t>
            </w:r>
          </w:p>
        </w:tc>
      </w:tr>
      <w:tr>
        <w:trPr>
          <w:cantSplit w:val="0"/>
          <w:tblHeader w:val="0"/>
        </w:trPr>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99204</w:t>
            </w:r>
          </w:p>
        </w:tc>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45-59 min</w:t>
            </w:r>
          </w:p>
        </w:tc>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99214</w:t>
            </w:r>
          </w:p>
        </w:tc>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30-39 min</w:t>
            </w:r>
          </w:p>
        </w:tc>
      </w:tr>
      <w:tr>
        <w:trPr>
          <w:cantSplit w:val="0"/>
          <w:tblHeader w:val="0"/>
        </w:trPr>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99205</w:t>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60-74 min</w:t>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99215</w:t>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40-54 min</w:t>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venir" w:cs="Avenir" w:eastAsia="Avenir" w:hAnsi="Avenir"/>
          <w:b w:val="1"/>
          <w:sz w:val="20"/>
          <w:szCs w:val="20"/>
          <w:u w:val="single"/>
        </w:rPr>
      </w:pPr>
      <w:r w:rsidDel="00000000" w:rsidR="00000000" w:rsidRPr="00000000">
        <w:rPr>
          <w:rFonts w:ascii="Avenir" w:cs="Avenir" w:eastAsia="Avenir" w:hAnsi="Avenir"/>
          <w:b w:val="1"/>
          <w:sz w:val="20"/>
          <w:szCs w:val="20"/>
          <w:u w:val="single"/>
          <w:rtl w:val="0"/>
        </w:rPr>
        <w:t xml:space="preserve">Modifiers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singl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-25</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ab/>
        <w:t xml:space="preserve">Use with the appropriate E/M code to indicate that significant and separately</w:t>
        <w:tab/>
        <w:tab/>
        <w:tab/>
        <w:t xml:space="preserve">identifiable E/M was provided on the same date of service as a procedure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-95</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Use this modifier with the appropriate E/M code to indicate a real-time audio and</w:t>
        <w:tab/>
        <w:t xml:space="preserve"> </w:t>
      </w:r>
      <w:r w:rsidDel="00000000" w:rsidR="00000000" w:rsidRPr="00000000">
        <w:rPr>
          <w:rFonts w:ascii="Avenir" w:cs="Avenir" w:eastAsia="Avenir" w:hAnsi="Avenir"/>
          <w:sz w:val="20"/>
          <w:szCs w:val="20"/>
          <w:rtl w:val="0"/>
        </w:rPr>
        <w:tab/>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video telehealth visit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sz w:val="20"/>
          <w:szCs w:val="20"/>
          <w:u w:val="singl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0"/>
          <w:szCs w:val="20"/>
          <w:u w:val="single"/>
        </w:rPr>
      </w:pPr>
      <w:r w:rsidDel="00000000" w:rsidR="00000000" w:rsidRPr="00000000">
        <w:rPr>
          <w:rFonts w:ascii="Avenir" w:cs="Avenir" w:eastAsia="Avenir" w:hAnsi="Avenir"/>
          <w:b w:val="1"/>
          <w:sz w:val="20"/>
          <w:szCs w:val="20"/>
          <w:u w:val="single"/>
          <w:rtl w:val="0"/>
        </w:rPr>
        <w:t xml:space="preserve">Consent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Federal regulations require that informed consent be obtained at least 30 days prior to sterilization for patients receiving care through federally funded programs, including Medicaid. This consent form must be in the patient’s medical record and included with your claim. You can access the consent form and further instructions through your state Medicaid office.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color w:val="0000ff"/>
          <w:sz w:val="20"/>
          <w:szCs w:val="20"/>
          <w:u w:val="singl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0"/>
          <w:szCs w:val="20"/>
          <w:u w:val="single"/>
        </w:rPr>
      </w:pPr>
      <w:r w:rsidDel="00000000" w:rsidR="00000000" w:rsidRPr="00000000">
        <w:rPr>
          <w:rFonts w:ascii="Avenir" w:cs="Avenir" w:eastAsia="Avenir" w:hAnsi="Avenir"/>
          <w:sz w:val="20"/>
          <w:szCs w:val="20"/>
          <w:u w:val="single"/>
          <w:rtl w:val="0"/>
        </w:rPr>
        <w:t xml:space="preserve">Additional Resources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0"/>
          <w:szCs w:val="20"/>
        </w:rPr>
      </w:pPr>
      <w:hyperlink r:id="rId8">
        <w:r w:rsidDel="00000000" w:rsidR="00000000" w:rsidRPr="00000000">
          <w:rPr>
            <w:rFonts w:ascii="Avenir" w:cs="Avenir" w:eastAsia="Avenir" w:hAnsi="Avenir"/>
            <w:color w:val="1155cc"/>
            <w:sz w:val="20"/>
            <w:szCs w:val="20"/>
            <w:u w:val="single"/>
            <w:rtl w:val="0"/>
          </w:rPr>
          <w:t xml:space="preserve">Vasectomy Coding Tips - AAPC</w:t>
        </w:r>
      </w:hyperlink>
      <w:r w:rsidDel="00000000" w:rsidR="00000000" w:rsidRPr="00000000">
        <w:rPr>
          <w:rtl w:val="0"/>
        </w:rPr>
      </w:r>
    </w:p>
    <w:sectPr>
      <w:headerReference r:id="rId9" w:type="default"/>
      <w:headerReference r:id="rId10" w:type="first"/>
      <w:headerReference r:id="rId11" w:type="even"/>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leader="none" w:pos="4885"/>
      </w:tabs>
      <w:spacing w:after="0" w:before="0" w:line="240" w:lineRule="auto"/>
      <w:ind w:left="0" w:right="0" w:firstLine="0"/>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Ju</w:t>
    </w:r>
    <w:r w:rsidDel="00000000" w:rsidR="00000000" w:rsidRPr="00000000">
      <w:rPr>
        <w:rFonts w:ascii="Avenir" w:cs="Avenir" w:eastAsia="Avenir" w:hAnsi="Avenir"/>
        <w:sz w:val="18"/>
        <w:szCs w:val="18"/>
        <w:rtl w:val="0"/>
      </w:rPr>
      <w:t xml:space="preserve">ly</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202</w:t>
    </w:r>
    <w:r w:rsidDel="00000000" w:rsidR="00000000" w:rsidRPr="00000000">
      <w:rPr>
        <w:rFonts w:ascii="Avenir" w:cs="Avenir" w:eastAsia="Avenir" w:hAnsi="Avenir"/>
        <w:sz w:val="18"/>
        <w:szCs w:val="18"/>
        <w:rtl w:val="0"/>
      </w:rPr>
      <w:t xml:space="preserve">5</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 www.reproductiveaccess.org </w:t>
      <w:tab/>
      <w:tab/>
    </w:r>
    <w:r w:rsidDel="00000000" w:rsidR="00000000" w:rsidRPr="00000000">
      <w:drawing>
        <wp:anchor allowOverlap="1" behindDoc="0" distB="0" distT="0" distL="114300" distR="114300" hidden="0" layoutInCell="1" locked="0" relativeHeight="0" simplePos="0">
          <wp:simplePos x="0" y="0"/>
          <wp:positionH relativeFrom="column">
            <wp:posOffset>4914900</wp:posOffset>
          </wp:positionH>
          <wp:positionV relativeFrom="paragraph">
            <wp:posOffset>-54607</wp:posOffset>
          </wp:positionV>
          <wp:extent cx="991870" cy="48323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1870" cy="4832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1"/>
      <w:jc w:val="left"/>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contextualSpacing w:val="1"/>
      <w:textDirection w:val="btLr"/>
      <w:textAlignment w:val="top"/>
      <w:outlineLvl w:val="0"/>
    </w:pPr>
    <w:rPr>
      <w:rFonts w:ascii="Times New Roman" w:eastAsia="Times New Roman" w:hAnsi="Times New Roman"/>
      <w:color w:val="000000"/>
      <w:w w:val="100"/>
      <w:position w:val="-1"/>
      <w:szCs w:val="24"/>
      <w:effect w:val="none"/>
      <w:vertAlign w:val="baseline"/>
      <w:cs w:val="0"/>
      <w:em w:val="none"/>
      <w:lang w:bidi="ar-SA" w:eastAsia="ja-JP" w:val="en-US"/>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Lines="1" w:beforeLines="1" w:line="1" w:lineRule="atLeast"/>
      <w:ind w:leftChars="-1" w:rightChars="0" w:firstLineChars="-1"/>
      <w:textDirection w:val="btLr"/>
      <w:textAlignment w:val="top"/>
      <w:outlineLvl w:val="0"/>
    </w:pPr>
    <w:rPr>
      <w:rFonts w:ascii="Times" w:cs="Times New Roman" w:eastAsia="Times New Roman" w:hAnsi="Times"/>
      <w:w w:val="100"/>
      <w:position w:val="-1"/>
      <w:sz w:val="20"/>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eastAsia="Times New Roman"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hAnsi="Lucida Grande"/>
      <w:w w:val="100"/>
      <w:position w:val="-1"/>
      <w:sz w:val="18"/>
      <w:szCs w:val="18"/>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paragraph" w:styleId="BodyText">
    <w:name w:val="Body Text"/>
    <w:basedOn w:val="Normal"/>
    <w:next w:val="BodyText"/>
    <w:autoRedefine w:val="0"/>
    <w:hidden w:val="0"/>
    <w:qFormat w:val="0"/>
    <w:pPr>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8"/>
      <w:szCs w:val="20"/>
      <w:effect w:val="none"/>
      <w:vertAlign w:val="baseline"/>
      <w:cs w:val="0"/>
      <w:em w:val="none"/>
      <w:lang w:bidi="ar-SA" w:eastAsia="ar-SA" w:val="en-US"/>
    </w:rPr>
  </w:style>
  <w:style w:type="character" w:styleId="BodyTextChar">
    <w:name w:val="Body Text Char"/>
    <w:next w:val="BodyTextChar"/>
    <w:autoRedefine w:val="0"/>
    <w:hidden w:val="0"/>
    <w:qFormat w:val="0"/>
    <w:rPr>
      <w:rFonts w:ascii="Times New Roman" w:eastAsia="Times New Roman" w:hAnsi="Times New Roman"/>
      <w:w w:val="100"/>
      <w:position w:val="-1"/>
      <w:sz w:val="28"/>
      <w:effect w:val="none"/>
      <w:vertAlign w:val="baseline"/>
      <w:cs w:val="0"/>
      <w:em w:val="none"/>
      <w:lang w:eastAsia="ar-SA"/>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hntc.org/resources/evaluation-and-management-codes-job-aid" TargetMode="External"/><Relationship Id="rId8" Type="http://schemas.openxmlformats.org/officeDocument/2006/relationships/hyperlink" Target="https://www.aapc.com/codes/coding-newsletters/my-urology-coding-alert/coding-tips-trust-these-6-tips-for-successful-vasectomy-coding-article?srsltid=AfmBOorsYHTTBdBV94RU6WUi0rPt7k5KObbREXiFbuLoDZt7eUzs9Vl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4bhTGaUagz645qVRIW+tqXEIA==">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2021-10-07T16:31:00Z</dcterms:created>
  <dc:creator>Stephanie Blaufarb</dc:creator>
</cp:coreProperties>
</file>

<file path=docProps/custom.xml><?xml version="1.0" encoding="utf-8"?>
<Properties xmlns="http://schemas.openxmlformats.org/officeDocument/2006/custom-properties" xmlns:vt="http://schemas.openxmlformats.org/officeDocument/2006/docPropsVTypes"/>
</file>