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venir" w:cs="Avenir" w:eastAsia="Avenir" w:hAnsi="Avenir"/>
          <w:b w:val="1"/>
          <w:bCs w:val="1"/>
          <w:sz w:val="28"/>
          <w:szCs w:val="28"/>
        </w:rPr>
      </w:pPr>
      <w:r w:rsidDel="00000000" w:rsidR="00000000" w:rsidRPr="00000000">
        <w:rPr>
          <w:rFonts w:ascii="Avenir" w:cs="Avenir" w:eastAsia="Avenir" w:hAnsi="Avenir"/>
          <w:b w:val="1"/>
          <w:bCs w:val="1"/>
          <w:sz w:val="28"/>
          <w:szCs w:val="28"/>
          <w:rtl w:val="0"/>
        </w:rPr>
        <w:t xml:space="preserve">Contraceptive Care via </w:t>
      </w:r>
      <w:r w:rsidDel="00000000" w:rsidR="00000000" w:rsidRPr="00000000">
        <w:rPr>
          <w:rFonts w:ascii="Avenir" w:cs="Avenir" w:eastAsia="Avenir" w:hAnsi="Avenir"/>
          <w:b w:val="1"/>
          <w:bCs w:val="1"/>
          <w:sz w:val="28"/>
          <w:szCs w:val="28"/>
          <w:rtl w:val="0"/>
        </w:rPr>
        <w:t xml:space="preserve">Telehealth</w:t>
      </w:r>
      <w:r w:rsidDel="00000000" w:rsidR="00000000" w:rsidRPr="00000000">
        <w:rPr>
          <w:rtl w:val="0"/>
        </w:rPr>
      </w:r>
    </w:p>
    <w:p w:rsidR="00000000" w:rsidDel="00000000" w:rsidP="00000000" w:rsidRDefault="00000000" w:rsidRPr="00000000" w14:paraId="00000002">
      <w:pPr>
        <w:rPr>
          <w:rFonts w:ascii="Avenir" w:cs="Avenir" w:eastAsia="Avenir" w:hAnsi="Avenir"/>
          <w:sz w:val="22"/>
          <w:szCs w:val="22"/>
        </w:rPr>
      </w:pPr>
      <w:r w:rsidDel="00000000" w:rsidR="00000000" w:rsidRPr="00000000">
        <w:rPr>
          <w:rFonts w:ascii="Avenir" w:cs="Avenir" w:eastAsia="Avenir" w:hAnsi="Avenir"/>
          <w:sz w:val="22"/>
          <w:szCs w:val="22"/>
          <w:rtl w:val="0"/>
        </w:rPr>
        <w:t xml:space="preserve">Patients are increasingly seeking medical care via telemedicine. Consider the following best practices when providing comprehensive, patient-centered contraception care virtually. </w:t>
      </w:r>
    </w:p>
    <w:p w:rsidR="00000000" w:rsidDel="00000000" w:rsidP="00000000" w:rsidRDefault="00000000" w:rsidRPr="00000000" w14:paraId="00000003">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ind w:left="720" w:hanging="360"/>
        <w:rPr>
          <w:rFonts w:ascii="Avenir" w:cs="Avenir" w:eastAsia="Avenir" w:hAnsi="Avenir"/>
          <w:color w:val="000000"/>
          <w:sz w:val="22"/>
          <w:szCs w:val="22"/>
          <w:u w:val="single"/>
        </w:rPr>
      </w:pPr>
      <w:r w:rsidDel="00000000" w:rsidR="00000000" w:rsidRPr="00000000">
        <w:rPr>
          <w:rFonts w:ascii="Avenir" w:cs="Avenir" w:eastAsia="Avenir" w:hAnsi="Avenir"/>
          <w:sz w:val="22"/>
          <w:szCs w:val="22"/>
          <w:u w:val="single"/>
          <w:rtl w:val="0"/>
        </w:rPr>
        <w:t xml:space="preserve">Current </w:t>
      </w:r>
      <w:r w:rsidDel="00000000" w:rsidR="00000000" w:rsidRPr="00000000">
        <w:rPr>
          <w:rFonts w:ascii="Avenir" w:cs="Avenir" w:eastAsia="Avenir" w:hAnsi="Avenir"/>
          <w:color w:val="000000"/>
          <w:sz w:val="22"/>
          <w:szCs w:val="22"/>
          <w:u w:val="single"/>
          <w:rtl w:val="0"/>
        </w:rPr>
        <w:t xml:space="preserve">LARC </w:t>
      </w:r>
      <w:r w:rsidDel="00000000" w:rsidR="00000000" w:rsidRPr="00000000">
        <w:rPr>
          <w:rFonts w:ascii="Avenir" w:cs="Avenir" w:eastAsia="Avenir" w:hAnsi="Avenir"/>
          <w:sz w:val="22"/>
          <w:szCs w:val="22"/>
          <w:u w:val="single"/>
          <w:rtl w:val="0"/>
        </w:rPr>
        <w:t xml:space="preserve">d</w:t>
      </w:r>
      <w:r w:rsidDel="00000000" w:rsidR="00000000" w:rsidRPr="00000000">
        <w:rPr>
          <w:rFonts w:ascii="Avenir" w:cs="Avenir" w:eastAsia="Avenir" w:hAnsi="Avenir"/>
          <w:color w:val="000000"/>
          <w:sz w:val="22"/>
          <w:szCs w:val="22"/>
          <w:u w:val="single"/>
          <w:rtl w:val="0"/>
        </w:rPr>
        <w:t xml:space="preserve">uration, for people who are </w:t>
      </w:r>
      <w:r w:rsidDel="00000000" w:rsidR="00000000" w:rsidRPr="00000000">
        <w:rPr>
          <w:rFonts w:ascii="Avenir" w:cs="Avenir" w:eastAsia="Avenir" w:hAnsi="Avenir"/>
          <w:sz w:val="22"/>
          <w:szCs w:val="22"/>
          <w:u w:val="single"/>
          <w:rtl w:val="0"/>
        </w:rPr>
        <w:t xml:space="preserve">interested in removal based on outdated guidance</w:t>
      </w:r>
      <w:r w:rsidDel="00000000" w:rsidR="00000000" w:rsidRPr="00000000">
        <w:rPr>
          <w:rtl w:val="0"/>
        </w:rPr>
      </w:r>
    </w:p>
    <w:p w:rsidR="00000000" w:rsidDel="00000000" w:rsidP="00000000" w:rsidRDefault="00000000" w:rsidRPr="00000000" w14:paraId="00000005">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color w:val="000000"/>
          <w:sz w:val="22"/>
          <w:szCs w:val="22"/>
          <w:rtl w:val="0"/>
        </w:rPr>
        <w:t xml:space="preserve">Nexplanon: FDA approved for 5 years</w:t>
      </w:r>
      <w:r w:rsidDel="00000000" w:rsidR="00000000" w:rsidRPr="00000000">
        <w:rPr>
          <w:rtl w:val="0"/>
        </w:rPr>
      </w:r>
    </w:p>
    <w:p w:rsidR="00000000" w:rsidDel="00000000" w:rsidP="00000000" w:rsidRDefault="00000000" w:rsidRPr="00000000" w14:paraId="00000006">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color w:val="000000"/>
          <w:sz w:val="22"/>
          <w:szCs w:val="22"/>
        </w:rPr>
      </w:pPr>
      <w:r w:rsidDel="00000000" w:rsidR="00000000" w:rsidRPr="00000000">
        <w:rPr>
          <w:rFonts w:ascii="Avenir" w:cs="Avenir" w:eastAsia="Avenir" w:hAnsi="Avenir"/>
          <w:color w:val="000000"/>
          <w:sz w:val="22"/>
          <w:szCs w:val="22"/>
          <w:rtl w:val="0"/>
        </w:rPr>
        <w:t xml:space="preserve">Hormonal </w:t>
      </w:r>
      <w:r w:rsidDel="00000000" w:rsidR="00000000" w:rsidRPr="00000000">
        <w:rPr>
          <w:rFonts w:ascii="Avenir" w:cs="Avenir" w:eastAsia="Avenir" w:hAnsi="Avenir"/>
          <w:color w:val="000000"/>
          <w:sz w:val="22"/>
          <w:szCs w:val="22"/>
          <w:rtl w:val="0"/>
        </w:rPr>
        <w:t xml:space="preserve">IUDs</w:t>
      </w:r>
      <w:r w:rsidDel="00000000" w:rsidR="00000000" w:rsidRPr="00000000">
        <w:rPr>
          <w:rtl w:val="0"/>
        </w:rPr>
      </w:r>
    </w:p>
    <w:p w:rsidR="00000000" w:rsidDel="00000000" w:rsidP="00000000" w:rsidRDefault="00000000" w:rsidRPr="00000000" w14:paraId="00000007">
      <w:pPr>
        <w:numPr>
          <w:ilvl w:val="2"/>
          <w:numId w:val="1"/>
        </w:numPr>
        <w:pBdr>
          <w:top w:space="0" w:sz="0" w:val="nil"/>
          <w:left w:space="0" w:sz="0" w:val="nil"/>
          <w:bottom w:space="0" w:sz="0" w:val="nil"/>
          <w:right w:space="0" w:sz="0" w:val="nil"/>
          <w:between w:space="0" w:sz="0" w:val="nil"/>
        </w:pBdr>
        <w:ind w:left="2160" w:hanging="180"/>
        <w:rPr/>
      </w:pPr>
      <w:r w:rsidDel="00000000" w:rsidR="00000000" w:rsidRPr="00000000">
        <w:rPr>
          <w:rFonts w:ascii="Avenir" w:cs="Avenir" w:eastAsia="Avenir" w:hAnsi="Avenir"/>
          <w:color w:val="000000"/>
          <w:sz w:val="22"/>
          <w:szCs w:val="22"/>
          <w:rtl w:val="0"/>
        </w:rPr>
        <w:t xml:space="preserve">Liletta 52mg: FDA</w:t>
      </w:r>
      <w:r w:rsidDel="00000000" w:rsidR="00000000" w:rsidRPr="00000000">
        <w:rPr>
          <w:rFonts w:ascii="Avenir" w:cs="Avenir" w:eastAsia="Avenir" w:hAnsi="Avenir"/>
          <w:sz w:val="22"/>
          <w:szCs w:val="22"/>
          <w:rtl w:val="0"/>
        </w:rPr>
        <w:t xml:space="preserve">-</w:t>
      </w:r>
      <w:r w:rsidDel="00000000" w:rsidR="00000000" w:rsidRPr="00000000">
        <w:rPr>
          <w:rFonts w:ascii="Avenir" w:cs="Avenir" w:eastAsia="Avenir" w:hAnsi="Avenir"/>
          <w:color w:val="000000"/>
          <w:sz w:val="22"/>
          <w:szCs w:val="22"/>
          <w:rtl w:val="0"/>
        </w:rPr>
        <w:t xml:space="preserve">approved for </w:t>
      </w:r>
      <w:r w:rsidDel="00000000" w:rsidR="00000000" w:rsidRPr="00000000">
        <w:rPr>
          <w:rFonts w:ascii="Avenir" w:cs="Avenir" w:eastAsia="Avenir" w:hAnsi="Avenir"/>
          <w:sz w:val="22"/>
          <w:szCs w:val="22"/>
          <w:rtl w:val="0"/>
        </w:rPr>
        <w:t xml:space="preserve">8</w:t>
      </w:r>
      <w:r w:rsidDel="00000000" w:rsidR="00000000" w:rsidRPr="00000000">
        <w:rPr>
          <w:rFonts w:ascii="Avenir" w:cs="Avenir" w:eastAsia="Avenir" w:hAnsi="Avenir"/>
          <w:color w:val="000000"/>
          <w:sz w:val="22"/>
          <w:szCs w:val="22"/>
          <w:rtl w:val="0"/>
        </w:rPr>
        <w:t xml:space="preserve"> years</w:t>
      </w:r>
      <w:r w:rsidDel="00000000" w:rsidR="00000000" w:rsidRPr="00000000">
        <w:rPr>
          <w:rtl w:val="0"/>
        </w:rPr>
      </w:r>
    </w:p>
    <w:p w:rsidR="00000000" w:rsidDel="00000000" w:rsidP="00000000" w:rsidRDefault="00000000" w:rsidRPr="00000000" w14:paraId="00000008">
      <w:pPr>
        <w:numPr>
          <w:ilvl w:val="2"/>
          <w:numId w:val="1"/>
        </w:numPr>
        <w:pBdr>
          <w:top w:space="0" w:sz="0" w:val="nil"/>
          <w:left w:space="0" w:sz="0" w:val="nil"/>
          <w:bottom w:space="0" w:sz="0" w:val="nil"/>
          <w:right w:space="0" w:sz="0" w:val="nil"/>
          <w:between w:space="0" w:sz="0" w:val="nil"/>
        </w:pBdr>
        <w:ind w:left="2160" w:hanging="180"/>
        <w:rPr/>
      </w:pPr>
      <w:r w:rsidDel="00000000" w:rsidR="00000000" w:rsidRPr="00000000">
        <w:rPr>
          <w:rFonts w:ascii="Avenir" w:cs="Avenir" w:eastAsia="Avenir" w:hAnsi="Avenir"/>
          <w:color w:val="000000"/>
          <w:sz w:val="22"/>
          <w:szCs w:val="22"/>
          <w:rtl w:val="0"/>
        </w:rPr>
        <w:t xml:space="preserve">Mirena 52mg: FDA</w:t>
      </w:r>
      <w:r w:rsidDel="00000000" w:rsidR="00000000" w:rsidRPr="00000000">
        <w:rPr>
          <w:rFonts w:ascii="Avenir" w:cs="Avenir" w:eastAsia="Avenir" w:hAnsi="Avenir"/>
          <w:sz w:val="22"/>
          <w:szCs w:val="22"/>
          <w:rtl w:val="0"/>
        </w:rPr>
        <w:t xml:space="preserve">-</w:t>
      </w:r>
      <w:r w:rsidDel="00000000" w:rsidR="00000000" w:rsidRPr="00000000">
        <w:rPr>
          <w:rFonts w:ascii="Avenir" w:cs="Avenir" w:eastAsia="Avenir" w:hAnsi="Avenir"/>
          <w:color w:val="000000"/>
          <w:sz w:val="22"/>
          <w:szCs w:val="22"/>
          <w:rtl w:val="0"/>
        </w:rPr>
        <w:t xml:space="preserve">approved for </w:t>
      </w:r>
      <w:r w:rsidDel="00000000" w:rsidR="00000000" w:rsidRPr="00000000">
        <w:rPr>
          <w:rFonts w:ascii="Avenir" w:cs="Avenir" w:eastAsia="Avenir" w:hAnsi="Avenir"/>
          <w:sz w:val="22"/>
          <w:szCs w:val="22"/>
          <w:rtl w:val="0"/>
        </w:rPr>
        <w:t xml:space="preserve">8</w:t>
      </w:r>
      <w:r w:rsidDel="00000000" w:rsidR="00000000" w:rsidRPr="00000000">
        <w:rPr>
          <w:rFonts w:ascii="Avenir" w:cs="Avenir" w:eastAsia="Avenir" w:hAnsi="Avenir"/>
          <w:color w:val="000000"/>
          <w:sz w:val="22"/>
          <w:szCs w:val="22"/>
          <w:rtl w:val="0"/>
        </w:rPr>
        <w:t xml:space="preserve"> years</w:t>
      </w:r>
      <w:r w:rsidDel="00000000" w:rsidR="00000000" w:rsidRPr="00000000">
        <w:rPr>
          <w:rtl w:val="0"/>
        </w:rPr>
      </w:r>
    </w:p>
    <w:p w:rsidR="00000000" w:rsidDel="00000000" w:rsidP="00000000" w:rsidRDefault="00000000" w:rsidRPr="00000000" w14:paraId="00000009">
      <w:pPr>
        <w:numPr>
          <w:ilvl w:val="2"/>
          <w:numId w:val="1"/>
        </w:numPr>
        <w:ind w:left="2160" w:hanging="180"/>
        <w:rPr/>
      </w:pPr>
      <w:r w:rsidDel="00000000" w:rsidR="00000000" w:rsidRPr="00000000">
        <w:rPr>
          <w:rFonts w:ascii="Avenir" w:cs="Avenir" w:eastAsia="Avenir" w:hAnsi="Avenir"/>
          <w:sz w:val="22"/>
          <w:szCs w:val="22"/>
          <w:rtl w:val="0"/>
        </w:rPr>
        <w:t xml:space="preserve">Kyleena 19.5mg: FDA-approved for 5 years</w:t>
      </w:r>
      <w:r w:rsidDel="00000000" w:rsidR="00000000" w:rsidRPr="00000000">
        <w:rPr>
          <w:rtl w:val="0"/>
        </w:rPr>
      </w:r>
    </w:p>
    <w:p w:rsidR="00000000" w:rsidDel="00000000" w:rsidP="00000000" w:rsidRDefault="00000000" w:rsidRPr="00000000" w14:paraId="0000000A">
      <w:pPr>
        <w:numPr>
          <w:ilvl w:val="2"/>
          <w:numId w:val="1"/>
        </w:numPr>
        <w:pBdr>
          <w:top w:space="0" w:sz="0" w:val="nil"/>
          <w:left w:space="0" w:sz="0" w:val="nil"/>
          <w:bottom w:space="0" w:sz="0" w:val="nil"/>
          <w:right w:space="0" w:sz="0" w:val="nil"/>
          <w:between w:space="0" w:sz="0" w:val="nil"/>
        </w:pBdr>
        <w:ind w:left="2160" w:hanging="180"/>
        <w:rPr/>
      </w:pPr>
      <w:r w:rsidDel="00000000" w:rsidR="00000000" w:rsidRPr="00000000">
        <w:rPr>
          <w:rFonts w:ascii="Avenir" w:cs="Avenir" w:eastAsia="Avenir" w:hAnsi="Avenir"/>
          <w:color w:val="000000"/>
          <w:sz w:val="22"/>
          <w:szCs w:val="22"/>
          <w:rtl w:val="0"/>
        </w:rPr>
        <w:t xml:space="preserve">Skyla 13.5mg: FDA approved for 3 years</w:t>
      </w:r>
      <w:r w:rsidDel="00000000" w:rsidR="00000000" w:rsidRPr="00000000">
        <w:rPr>
          <w:rtl w:val="0"/>
        </w:rPr>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color w:val="000000"/>
          <w:sz w:val="22"/>
          <w:szCs w:val="22"/>
        </w:rPr>
      </w:pPr>
      <w:r w:rsidDel="00000000" w:rsidR="00000000" w:rsidRPr="00000000">
        <w:rPr>
          <w:rFonts w:ascii="Avenir" w:cs="Avenir" w:eastAsia="Avenir" w:hAnsi="Avenir"/>
          <w:color w:val="000000"/>
          <w:sz w:val="22"/>
          <w:szCs w:val="22"/>
          <w:rtl w:val="0"/>
        </w:rPr>
        <w:t xml:space="preserve">Non-Hormonal IUDs:</w:t>
      </w:r>
    </w:p>
    <w:p w:rsidR="00000000" w:rsidDel="00000000" w:rsidP="00000000" w:rsidRDefault="00000000" w:rsidRPr="00000000" w14:paraId="0000000C">
      <w:pPr>
        <w:numPr>
          <w:ilvl w:val="2"/>
          <w:numId w:val="1"/>
        </w:numPr>
        <w:pBdr>
          <w:top w:space="0" w:sz="0" w:val="nil"/>
          <w:left w:space="0" w:sz="0" w:val="nil"/>
          <w:bottom w:space="0" w:sz="0" w:val="nil"/>
          <w:right w:space="0" w:sz="0" w:val="nil"/>
          <w:between w:space="0" w:sz="0" w:val="nil"/>
        </w:pBdr>
        <w:ind w:left="2160" w:hanging="180"/>
        <w:rPr/>
      </w:pPr>
      <w:r w:rsidDel="00000000" w:rsidR="00000000" w:rsidRPr="00000000">
        <w:rPr>
          <w:rFonts w:ascii="Avenir" w:cs="Avenir" w:eastAsia="Avenir" w:hAnsi="Avenir"/>
          <w:color w:val="000000"/>
          <w:sz w:val="22"/>
          <w:szCs w:val="22"/>
          <w:rtl w:val="0"/>
        </w:rPr>
        <w:t xml:space="preserve">Paragard: FDA approved for 10 years; evidence based for </w:t>
      </w:r>
      <w:r w:rsidDel="00000000" w:rsidR="00000000" w:rsidRPr="00000000">
        <w:rPr>
          <w:rFonts w:ascii="Avenir" w:cs="Avenir" w:eastAsia="Avenir" w:hAnsi="Avenir"/>
          <w:color w:val="000000"/>
          <w:sz w:val="22"/>
          <w:szCs w:val="22"/>
          <w:rtl w:val="0"/>
        </w:rPr>
        <w:t xml:space="preserve">12 </w:t>
      </w:r>
      <w:r w:rsidDel="00000000" w:rsidR="00000000" w:rsidRPr="00000000">
        <w:rPr>
          <w:rFonts w:ascii="Avenir" w:cs="Avenir" w:eastAsia="Avenir" w:hAnsi="Avenir"/>
          <w:sz w:val="22"/>
          <w:szCs w:val="22"/>
          <w:rtl w:val="0"/>
        </w:rPr>
        <w:t xml:space="preserve">or more years</w:t>
      </w:r>
      <w:r w:rsidDel="00000000" w:rsidR="00000000" w:rsidRPr="00000000">
        <w:rPr>
          <w:rFonts w:ascii="Avenir" w:cs="Avenir" w:eastAsia="Avenir" w:hAnsi="Avenir"/>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1440" w:hanging="720"/>
        <w:rPr>
          <w:rFonts w:ascii="Avenir" w:cs="Avenir" w:eastAsia="Avenir" w:hAnsi="Avenir"/>
          <w:color w:val="000000"/>
          <w:sz w:val="22"/>
          <w:szCs w:val="22"/>
        </w:rPr>
      </w:pP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ind w:left="720" w:hanging="360"/>
        <w:rPr>
          <w:rFonts w:ascii="Avenir" w:cs="Avenir" w:eastAsia="Avenir" w:hAnsi="Avenir"/>
          <w:color w:val="000000"/>
          <w:sz w:val="22"/>
          <w:szCs w:val="22"/>
          <w:u w:val="single"/>
        </w:rPr>
      </w:pPr>
      <w:r w:rsidDel="00000000" w:rsidR="00000000" w:rsidRPr="00000000">
        <w:rPr>
          <w:rFonts w:ascii="Avenir" w:cs="Avenir" w:eastAsia="Avenir" w:hAnsi="Avenir"/>
          <w:color w:val="000000"/>
          <w:sz w:val="22"/>
          <w:szCs w:val="22"/>
          <w:u w:val="single"/>
          <w:rtl w:val="0"/>
        </w:rPr>
        <w:t xml:space="preserve">LARC has “expired”</w:t>
      </w:r>
    </w:p>
    <w:p w:rsidR="00000000" w:rsidDel="00000000" w:rsidP="00000000" w:rsidRDefault="00000000" w:rsidRPr="00000000" w14:paraId="0000000F">
      <w:pPr>
        <w:numPr>
          <w:ilvl w:val="1"/>
          <w:numId w:val="1"/>
        </w:numP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Invite patient to come into the office for removal and/or reinsertion.</w:t>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color w:val="000000"/>
          <w:sz w:val="22"/>
          <w:szCs w:val="22"/>
          <w:rtl w:val="0"/>
        </w:rPr>
        <w:t xml:space="preserve">Advise using </w:t>
      </w:r>
      <w:r w:rsidDel="00000000" w:rsidR="00000000" w:rsidRPr="00000000">
        <w:rPr>
          <w:rFonts w:ascii="Avenir" w:cs="Avenir" w:eastAsia="Avenir" w:hAnsi="Avenir"/>
          <w:sz w:val="22"/>
          <w:szCs w:val="22"/>
          <w:rtl w:val="0"/>
        </w:rPr>
        <w:t xml:space="preserve">back-up </w:t>
      </w:r>
      <w:r w:rsidDel="00000000" w:rsidR="00000000" w:rsidRPr="00000000">
        <w:rPr>
          <w:rFonts w:ascii="Avenir" w:cs="Avenir" w:eastAsia="Avenir" w:hAnsi="Avenir"/>
          <w:color w:val="000000"/>
          <w:sz w:val="22"/>
          <w:szCs w:val="22"/>
          <w:rtl w:val="0"/>
        </w:rPr>
        <w:t xml:space="preserve">until their appointment</w:t>
      </w:r>
      <w:r w:rsidDel="00000000" w:rsidR="00000000" w:rsidRPr="00000000">
        <w:rPr>
          <w:rtl w:val="0"/>
        </w:rPr>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If the patient got the Copper IUD after age 35, the IUD likely still works</w:t>
      </w:r>
      <w:r w:rsidDel="00000000" w:rsidR="00000000" w:rsidRPr="00000000">
        <w:rPr>
          <w:rFonts w:ascii="Avenir" w:cs="Avenir" w:eastAsia="Avenir" w:hAnsi="Avenir"/>
          <w:sz w:val="22"/>
          <w:szCs w:val="22"/>
          <w:vertAlign w:val="superscript"/>
          <w:rtl w:val="0"/>
        </w:rPr>
        <w:t xml:space="preserve">1</w:t>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If the patient cannot come into clinic, c</w:t>
      </w:r>
      <w:r w:rsidDel="00000000" w:rsidR="00000000" w:rsidRPr="00000000">
        <w:rPr>
          <w:rFonts w:ascii="Avenir" w:cs="Avenir" w:eastAsia="Avenir" w:hAnsi="Avenir"/>
          <w:color w:val="000000"/>
          <w:sz w:val="22"/>
          <w:szCs w:val="22"/>
          <w:rtl w:val="0"/>
        </w:rPr>
        <w:t xml:space="preserve">onsider prescribing </w:t>
      </w:r>
      <w:r w:rsidDel="00000000" w:rsidR="00000000" w:rsidRPr="00000000">
        <w:rPr>
          <w:rFonts w:ascii="Avenir" w:cs="Avenir" w:eastAsia="Avenir" w:hAnsi="Avenir"/>
          <w:sz w:val="22"/>
          <w:szCs w:val="22"/>
          <w:rtl w:val="0"/>
        </w:rPr>
        <w:t xml:space="preserve">a bridge method</w:t>
      </w:r>
      <w:r w:rsidDel="00000000" w:rsidR="00000000" w:rsidRPr="00000000">
        <w:rPr>
          <w:rFonts w:ascii="Avenir" w:cs="Avenir" w:eastAsia="Avenir" w:hAnsi="Avenir"/>
          <w:color w:val="000000"/>
          <w:sz w:val="22"/>
          <w:szCs w:val="22"/>
          <w:rtl w:val="0"/>
        </w:rPr>
        <w:t xml:space="preserve"> </w:t>
      </w:r>
      <w:r w:rsidDel="00000000" w:rsidR="00000000" w:rsidRPr="00000000">
        <w:rPr>
          <w:rtl w:val="0"/>
        </w:rPr>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Offer the option for IUD </w:t>
      </w:r>
      <w:hyperlink r:id="rId7">
        <w:r w:rsidDel="00000000" w:rsidR="00000000" w:rsidRPr="00000000">
          <w:rPr>
            <w:rFonts w:ascii="Avenir" w:cs="Avenir" w:eastAsia="Avenir" w:hAnsi="Avenir"/>
            <w:color w:val="1155cc"/>
            <w:sz w:val="22"/>
            <w:szCs w:val="22"/>
            <w:u w:val="single"/>
            <w:rtl w:val="0"/>
          </w:rPr>
          <w:t xml:space="preserve">self-removal</w:t>
        </w:r>
      </w:hyperlink>
      <w:r w:rsidDel="00000000" w:rsidR="00000000" w:rsidRPr="00000000">
        <w:rPr>
          <w:rFonts w:ascii="Avenir" w:cs="Avenir" w:eastAsia="Avenir" w:hAnsi="Avenir"/>
          <w:sz w:val="22"/>
          <w:szCs w:val="22"/>
          <w:rtl w:val="0"/>
        </w:rPr>
        <w:t xml:space="preserve">, offering a telehealth visit to guide the patient through the steps. </w:t>
      </w:r>
    </w:p>
    <w:p w:rsidR="00000000" w:rsidDel="00000000" w:rsidP="00000000" w:rsidRDefault="00000000" w:rsidRPr="00000000" w14:paraId="00000014">
      <w:pP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ind w:left="720" w:hanging="360"/>
        <w:rPr>
          <w:rFonts w:ascii="Avenir" w:cs="Avenir" w:eastAsia="Avenir" w:hAnsi="Avenir"/>
          <w:color w:val="000000"/>
          <w:sz w:val="22"/>
          <w:szCs w:val="22"/>
          <w:u w:val="single"/>
        </w:rPr>
      </w:pPr>
      <w:r w:rsidDel="00000000" w:rsidR="00000000" w:rsidRPr="00000000">
        <w:rPr>
          <w:rFonts w:ascii="Avenir" w:cs="Avenir" w:eastAsia="Avenir" w:hAnsi="Avenir"/>
          <w:color w:val="000000"/>
          <w:sz w:val="22"/>
          <w:szCs w:val="22"/>
          <w:u w:val="single"/>
          <w:rtl w:val="0"/>
        </w:rPr>
        <w:t xml:space="preserve">Patient would like </w:t>
      </w:r>
      <w:r w:rsidDel="00000000" w:rsidR="00000000" w:rsidRPr="00000000">
        <w:rPr>
          <w:rFonts w:ascii="Avenir" w:cs="Avenir" w:eastAsia="Avenir" w:hAnsi="Avenir"/>
          <w:sz w:val="22"/>
          <w:szCs w:val="22"/>
          <w:u w:val="single"/>
          <w:rtl w:val="0"/>
        </w:rPr>
        <w:t xml:space="preserve">a combined hormonal contraceptive (CHC)</w:t>
      </w:r>
      <w:r w:rsidDel="00000000" w:rsidR="00000000" w:rsidRPr="00000000">
        <w:rPr>
          <w:rtl w:val="0"/>
        </w:rPr>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color w:val="000000"/>
          <w:sz w:val="22"/>
          <w:szCs w:val="22"/>
          <w:rtl w:val="0"/>
        </w:rPr>
        <w:t xml:space="preserve">If oral contracept</w:t>
      </w:r>
      <w:r w:rsidDel="00000000" w:rsidR="00000000" w:rsidRPr="00000000">
        <w:rPr>
          <w:rFonts w:ascii="Avenir" w:cs="Avenir" w:eastAsia="Avenir" w:hAnsi="Avenir"/>
          <w:sz w:val="22"/>
          <w:szCs w:val="22"/>
          <w:rtl w:val="0"/>
        </w:rPr>
        <w:t xml:space="preserve">ive pills (</w:t>
      </w:r>
      <w:r w:rsidDel="00000000" w:rsidR="00000000" w:rsidRPr="00000000">
        <w:rPr>
          <w:rFonts w:ascii="Avenir" w:cs="Avenir" w:eastAsia="Avenir" w:hAnsi="Avenir"/>
          <w:color w:val="000000"/>
          <w:sz w:val="22"/>
          <w:szCs w:val="22"/>
          <w:rtl w:val="0"/>
        </w:rPr>
        <w:t xml:space="preserve">OCPs), patch, or ring are </w:t>
      </w:r>
      <w:r w:rsidDel="00000000" w:rsidR="00000000" w:rsidRPr="00000000">
        <w:rPr>
          <w:rFonts w:ascii="Avenir" w:cs="Avenir" w:eastAsia="Avenir" w:hAnsi="Avenir"/>
          <w:sz w:val="22"/>
          <w:szCs w:val="22"/>
          <w:rtl w:val="0"/>
        </w:rPr>
        <w:t xml:space="preserve">requested</w:t>
      </w:r>
      <w:r w:rsidDel="00000000" w:rsidR="00000000" w:rsidRPr="00000000">
        <w:rPr>
          <w:rFonts w:ascii="Avenir" w:cs="Avenir" w:eastAsia="Avenir" w:hAnsi="Avenir"/>
          <w:color w:val="000000"/>
          <w:sz w:val="22"/>
          <w:szCs w:val="22"/>
          <w:rtl w:val="0"/>
        </w:rPr>
        <w:t xml:space="preserve">: </w:t>
      </w:r>
      <w:r w:rsidDel="00000000" w:rsidR="00000000" w:rsidRPr="00000000">
        <w:rPr>
          <w:rtl w:val="0"/>
        </w:rPr>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ind w:left="2160" w:hanging="180"/>
        <w:rPr>
          <w:rFonts w:ascii="Avenir" w:cs="Avenir" w:eastAsia="Avenir" w:hAnsi="Avenir"/>
          <w:sz w:val="22"/>
          <w:szCs w:val="22"/>
        </w:rPr>
      </w:pPr>
      <w:r w:rsidDel="00000000" w:rsidR="00000000" w:rsidRPr="00000000">
        <w:rPr>
          <w:rFonts w:ascii="Avenir" w:cs="Avenir" w:eastAsia="Avenir" w:hAnsi="Avenir"/>
          <w:sz w:val="22"/>
          <w:szCs w:val="22"/>
          <w:rtl w:val="0"/>
        </w:rPr>
        <w:t xml:space="preserve">Review their past medical history</w:t>
      </w:r>
      <w:r w:rsidDel="00000000" w:rsidR="00000000" w:rsidRPr="00000000">
        <w:rPr>
          <w:rFonts w:ascii="Avenir" w:cs="Avenir" w:eastAsia="Avenir" w:hAnsi="Avenir"/>
          <w:color w:val="000000"/>
          <w:sz w:val="22"/>
          <w:szCs w:val="22"/>
          <w:rtl w:val="0"/>
        </w:rPr>
        <w:t xml:space="preserve"> and refer to the </w:t>
      </w:r>
      <w:hyperlink r:id="rId8">
        <w:r w:rsidDel="00000000" w:rsidR="00000000" w:rsidRPr="00000000">
          <w:rPr>
            <w:rFonts w:ascii="Avenir" w:cs="Avenir" w:eastAsia="Avenir" w:hAnsi="Avenir"/>
            <w:color w:val="1155cc"/>
            <w:sz w:val="22"/>
            <w:szCs w:val="22"/>
            <w:u w:val="single"/>
            <w:rtl w:val="0"/>
          </w:rPr>
          <w:t xml:space="preserve">US Medical Eligibility Criteria for Contraceptive Use</w:t>
        </w:r>
      </w:hyperlink>
      <w:r w:rsidDel="00000000" w:rsidR="00000000" w:rsidRPr="00000000">
        <w:rPr>
          <w:rFonts w:ascii="Avenir" w:cs="Avenir" w:eastAsia="Avenir" w:hAnsi="Avenir"/>
          <w:sz w:val="22"/>
          <w:szCs w:val="22"/>
          <w:rtl w:val="0"/>
        </w:rPr>
        <w:t xml:space="preserve"> for any cautions or contraindications</w:t>
      </w:r>
      <w:r w:rsidDel="00000000" w:rsidR="00000000" w:rsidRPr="00000000">
        <w:rPr>
          <w:rtl w:val="0"/>
        </w:rPr>
      </w:r>
    </w:p>
    <w:p w:rsidR="00000000" w:rsidDel="00000000" w:rsidP="00000000" w:rsidRDefault="00000000" w:rsidRPr="00000000" w14:paraId="00000018">
      <w:pPr>
        <w:numPr>
          <w:ilvl w:val="2"/>
          <w:numId w:val="1"/>
        </w:numPr>
        <w:pBdr>
          <w:top w:space="0" w:sz="0" w:val="nil"/>
          <w:left w:space="0" w:sz="0" w:val="nil"/>
          <w:bottom w:space="0" w:sz="0" w:val="nil"/>
          <w:right w:space="0" w:sz="0" w:val="nil"/>
          <w:between w:space="0" w:sz="0" w:val="nil"/>
        </w:pBdr>
        <w:ind w:left="2160" w:hanging="180"/>
        <w:rPr>
          <w:rFonts w:ascii="Avenir" w:cs="Avenir" w:eastAsia="Avenir" w:hAnsi="Avenir"/>
          <w:sz w:val="22"/>
          <w:szCs w:val="22"/>
        </w:rPr>
      </w:pPr>
      <w:r w:rsidDel="00000000" w:rsidR="00000000" w:rsidRPr="00000000">
        <w:rPr>
          <w:rFonts w:ascii="Avenir" w:cs="Avenir" w:eastAsia="Avenir" w:hAnsi="Avenir"/>
          <w:sz w:val="22"/>
          <w:szCs w:val="22"/>
          <w:rtl w:val="0"/>
        </w:rPr>
        <w:t xml:space="preserve">Check most recent</w:t>
      </w:r>
      <w:r w:rsidDel="00000000" w:rsidR="00000000" w:rsidRPr="00000000">
        <w:rPr>
          <w:rFonts w:ascii="Avenir" w:cs="Avenir" w:eastAsia="Avenir" w:hAnsi="Avenir"/>
          <w:color w:val="000000"/>
          <w:sz w:val="22"/>
          <w:szCs w:val="22"/>
          <w:rtl w:val="0"/>
        </w:rPr>
        <w:t xml:space="preserve"> blood pressure </w:t>
      </w:r>
      <w:r w:rsidDel="00000000" w:rsidR="00000000" w:rsidRPr="00000000">
        <w:rPr>
          <w:rFonts w:ascii="Avenir" w:cs="Avenir" w:eastAsia="Avenir" w:hAnsi="Avenir"/>
          <w:sz w:val="22"/>
          <w:szCs w:val="22"/>
          <w:rtl w:val="0"/>
        </w:rPr>
        <w:t xml:space="preserve">within the last year</w:t>
      </w:r>
      <w:r w:rsidDel="00000000" w:rsidR="00000000" w:rsidRPr="00000000">
        <w:rPr>
          <w:rtl w:val="0"/>
        </w:rPr>
      </w:r>
    </w:p>
    <w:p w:rsidR="00000000" w:rsidDel="00000000" w:rsidP="00000000" w:rsidRDefault="00000000" w:rsidRPr="00000000" w14:paraId="00000019">
      <w:pPr>
        <w:numPr>
          <w:ilvl w:val="3"/>
          <w:numId w:val="1"/>
        </w:numPr>
        <w:pBdr>
          <w:top w:space="0" w:sz="0" w:val="nil"/>
          <w:left w:space="0" w:sz="0" w:val="nil"/>
          <w:bottom w:space="0" w:sz="0" w:val="nil"/>
          <w:right w:space="0" w:sz="0" w:val="nil"/>
          <w:between w:space="0" w:sz="0" w:val="nil"/>
        </w:pBdr>
        <w:ind w:left="2880" w:hanging="360"/>
        <w:rPr>
          <w:rFonts w:ascii="Avenir" w:cs="Avenir" w:eastAsia="Avenir" w:hAnsi="Avenir"/>
          <w:sz w:val="22"/>
          <w:szCs w:val="22"/>
        </w:rPr>
      </w:pPr>
      <w:r w:rsidDel="00000000" w:rsidR="00000000" w:rsidRPr="00000000">
        <w:rPr>
          <w:rFonts w:ascii="Avenir" w:cs="Avenir" w:eastAsia="Avenir" w:hAnsi="Avenir"/>
          <w:color w:val="000000"/>
          <w:sz w:val="22"/>
          <w:szCs w:val="22"/>
          <w:rtl w:val="0"/>
        </w:rPr>
        <w:t xml:space="preserve">Progestin-only pills (POPs) are an option for people without a recorded blood pressure.</w:t>
      </w:r>
      <w:r w:rsidDel="00000000" w:rsidR="00000000" w:rsidRPr="00000000">
        <w:rPr>
          <w:rtl w:val="0"/>
        </w:rPr>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Prescription should be written to dispense </w:t>
      </w:r>
      <w:r w:rsidDel="00000000" w:rsidR="00000000" w:rsidRPr="00000000">
        <w:rPr>
          <w:rFonts w:ascii="Avenir" w:cs="Avenir" w:eastAsia="Avenir" w:hAnsi="Avenir"/>
          <w:color w:val="000000"/>
          <w:sz w:val="22"/>
          <w:szCs w:val="22"/>
          <w:rtl w:val="0"/>
        </w:rPr>
        <w:t xml:space="preserve">at least a 3 month</w:t>
      </w:r>
      <w:r w:rsidDel="00000000" w:rsidR="00000000" w:rsidRPr="00000000">
        <w:rPr>
          <w:rFonts w:ascii="Avenir" w:cs="Avenir" w:eastAsia="Avenir" w:hAnsi="Avenir"/>
          <w:sz w:val="22"/>
          <w:szCs w:val="22"/>
          <w:rtl w:val="0"/>
        </w:rPr>
        <w:t xml:space="preserve"> supply</w:t>
      </w:r>
      <w:r w:rsidDel="00000000" w:rsidR="00000000" w:rsidRPr="00000000">
        <w:rPr>
          <w:rFonts w:ascii="Avenir" w:cs="Avenir" w:eastAsia="Avenir" w:hAnsi="Avenir"/>
          <w:color w:val="000000"/>
          <w:sz w:val="22"/>
          <w:szCs w:val="22"/>
          <w:rtl w:val="0"/>
        </w:rPr>
        <w:t xml:space="preserve"> with refills to last one year</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2160" w:hanging="720"/>
        <w:rPr>
          <w:rFonts w:ascii="Avenir" w:cs="Avenir" w:eastAsia="Avenir" w:hAnsi="Avenir"/>
          <w:color w:val="000000"/>
          <w:sz w:val="22"/>
          <w:szCs w:val="22"/>
        </w:rPr>
      </w:pP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ind w:left="720" w:hanging="360"/>
        <w:rPr>
          <w:rFonts w:ascii="Avenir" w:cs="Avenir" w:eastAsia="Avenir" w:hAnsi="Avenir"/>
          <w:color w:val="000000"/>
          <w:sz w:val="22"/>
          <w:szCs w:val="22"/>
          <w:u w:val="single"/>
        </w:rPr>
      </w:pPr>
      <w:r w:rsidDel="00000000" w:rsidR="00000000" w:rsidRPr="00000000">
        <w:rPr>
          <w:rFonts w:ascii="Avenir" w:cs="Avenir" w:eastAsia="Avenir" w:hAnsi="Avenir"/>
          <w:color w:val="000000"/>
          <w:sz w:val="22"/>
          <w:szCs w:val="22"/>
          <w:u w:val="single"/>
          <w:rtl w:val="0"/>
        </w:rPr>
        <w:t xml:space="preserve">How will I know if they are at risk for </w:t>
      </w:r>
      <w:r w:rsidDel="00000000" w:rsidR="00000000" w:rsidRPr="00000000">
        <w:rPr>
          <w:rFonts w:ascii="Avenir" w:cs="Avenir" w:eastAsia="Avenir" w:hAnsi="Avenir"/>
          <w:sz w:val="22"/>
          <w:szCs w:val="22"/>
          <w:u w:val="single"/>
          <w:rtl w:val="0"/>
        </w:rPr>
        <w:t xml:space="preserve">pregnancy</w:t>
      </w:r>
      <w:r w:rsidDel="00000000" w:rsidR="00000000" w:rsidRPr="00000000">
        <w:rPr>
          <w:rFonts w:ascii="Avenir" w:cs="Avenir" w:eastAsia="Avenir" w:hAnsi="Avenir"/>
          <w:color w:val="000000"/>
          <w:sz w:val="22"/>
          <w:szCs w:val="22"/>
          <w:u w:val="single"/>
          <w:rtl w:val="0"/>
        </w:rPr>
        <w:t xml:space="preserve">?</w:t>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color w:val="000000"/>
          <w:sz w:val="22"/>
          <w:szCs w:val="22"/>
          <w:rtl w:val="0"/>
        </w:rPr>
        <w:t xml:space="preserve">Ask about timing of LMP and unprotected vaginal sex</w:t>
      </w:r>
      <w:r w:rsidDel="00000000" w:rsidR="00000000" w:rsidRPr="00000000">
        <w:rPr>
          <w:rtl w:val="0"/>
        </w:rPr>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color w:val="000000"/>
          <w:sz w:val="22"/>
          <w:szCs w:val="22"/>
          <w:rtl w:val="0"/>
        </w:rPr>
        <w:t xml:space="preserve">Ask if they have done an at-home pregnancy test</w:t>
      </w:r>
      <w:r w:rsidDel="00000000" w:rsidR="00000000" w:rsidRPr="00000000">
        <w:rPr>
          <w:rtl w:val="0"/>
        </w:rPr>
      </w:r>
    </w:p>
    <w:p w:rsidR="00000000" w:rsidDel="00000000" w:rsidP="00000000" w:rsidRDefault="00000000" w:rsidRPr="00000000" w14:paraId="0000001F">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Check guidance from the US Selected Practice Recommendations for Contraceptive Use “</w:t>
      </w:r>
      <w:hyperlink r:id="rId9">
        <w:r w:rsidDel="00000000" w:rsidR="00000000" w:rsidRPr="00000000">
          <w:rPr>
            <w:rFonts w:ascii="Avenir" w:cs="Avenir" w:eastAsia="Avenir" w:hAnsi="Avenir"/>
            <w:color w:val="1155cc"/>
            <w:sz w:val="22"/>
            <w:szCs w:val="22"/>
            <w:u w:val="single"/>
            <w:rtl w:val="0"/>
          </w:rPr>
          <w:t xml:space="preserve">How to Be Reasonably Certain that a Patient is Not </w:t>
        </w:r>
      </w:hyperlink>
      <w:hyperlink r:id="rId10">
        <w:r w:rsidDel="00000000" w:rsidR="00000000" w:rsidRPr="00000000">
          <w:rPr>
            <w:rFonts w:ascii="Avenir" w:cs="Avenir" w:eastAsia="Avenir" w:hAnsi="Avenir"/>
            <w:color w:val="1155cc"/>
            <w:sz w:val="22"/>
            <w:szCs w:val="22"/>
            <w:u w:val="single"/>
            <w:rtl w:val="0"/>
          </w:rPr>
          <w:t xml:space="preserve">Pregnant</w:t>
        </w:r>
      </w:hyperlink>
      <w:r w:rsidDel="00000000" w:rsidR="00000000" w:rsidRPr="00000000">
        <w:rPr>
          <w:rFonts w:ascii="Avenir" w:cs="Avenir" w:eastAsia="Avenir" w:hAnsi="Avenir"/>
          <w:sz w:val="22"/>
          <w:szCs w:val="22"/>
          <w:rtl w:val="0"/>
        </w:rPr>
        <w:t xml:space="preserve">.” </w:t>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Assess whether the patient might be at risk for pregnancy. If you cannot be reasonably certain they are not pregnant, advise them to take a home pregnancy test and if negative, they can start a method., They should repeat a home pregnancy test in 2-3 weeks.</w:t>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720" w:hanging="720"/>
        <w:rPr>
          <w:rFonts w:ascii="Avenir" w:cs="Avenir" w:eastAsia="Avenir" w:hAnsi="Avenir"/>
          <w:color w:val="000000"/>
          <w:sz w:val="22"/>
          <w:szCs w:val="22"/>
          <w:u w:val="single"/>
        </w:rPr>
      </w:pPr>
      <w:r w:rsidDel="00000000" w:rsidR="00000000" w:rsidRPr="00000000">
        <w:rPr>
          <w:rtl w:val="0"/>
        </w:rPr>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ind w:left="720" w:hanging="360"/>
        <w:rPr>
          <w:rFonts w:ascii="Avenir" w:cs="Avenir" w:eastAsia="Avenir" w:hAnsi="Avenir"/>
          <w:color w:val="000000"/>
          <w:sz w:val="22"/>
          <w:szCs w:val="22"/>
          <w:u w:val="single"/>
        </w:rPr>
      </w:pPr>
      <w:r w:rsidDel="00000000" w:rsidR="00000000" w:rsidRPr="00000000">
        <w:rPr>
          <w:rFonts w:ascii="Avenir" w:cs="Avenir" w:eastAsia="Avenir" w:hAnsi="Avenir"/>
          <w:color w:val="000000"/>
          <w:sz w:val="22"/>
          <w:szCs w:val="22"/>
          <w:u w:val="single"/>
          <w:rtl w:val="0"/>
        </w:rPr>
        <w:t xml:space="preserve">They need a repeat </w:t>
      </w:r>
      <w:r w:rsidDel="00000000" w:rsidR="00000000" w:rsidRPr="00000000">
        <w:rPr>
          <w:rFonts w:ascii="Avenir" w:cs="Avenir" w:eastAsia="Avenir" w:hAnsi="Avenir"/>
          <w:sz w:val="22"/>
          <w:szCs w:val="22"/>
          <w:u w:val="single"/>
          <w:rtl w:val="0"/>
        </w:rPr>
        <w:t xml:space="preserve">DMPA</w:t>
      </w:r>
      <w:r w:rsidDel="00000000" w:rsidR="00000000" w:rsidRPr="00000000">
        <w:rPr>
          <w:rFonts w:ascii="Avenir" w:cs="Avenir" w:eastAsia="Avenir" w:hAnsi="Avenir"/>
          <w:color w:val="000000"/>
          <w:sz w:val="22"/>
          <w:szCs w:val="22"/>
          <w:u w:val="single"/>
          <w:rtl w:val="0"/>
        </w:rPr>
        <w:t xml:space="preserve"> shot</w:t>
      </w:r>
    </w:p>
    <w:p w:rsidR="00000000" w:rsidDel="00000000" w:rsidP="00000000" w:rsidRDefault="00000000" w:rsidRPr="00000000" w14:paraId="00000023">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DMPA</w:t>
      </w:r>
      <w:r w:rsidDel="00000000" w:rsidR="00000000" w:rsidRPr="00000000">
        <w:rPr>
          <w:rFonts w:ascii="Avenir" w:cs="Avenir" w:eastAsia="Avenir" w:hAnsi="Avenir"/>
          <w:color w:val="000000"/>
          <w:sz w:val="22"/>
          <w:szCs w:val="22"/>
          <w:rtl w:val="0"/>
        </w:rPr>
        <w:t xml:space="preserve"> lasts </w:t>
      </w:r>
      <w:r w:rsidDel="00000000" w:rsidR="00000000" w:rsidRPr="00000000">
        <w:rPr>
          <w:rFonts w:ascii="Avenir" w:cs="Avenir" w:eastAsia="Avenir" w:hAnsi="Avenir"/>
          <w:sz w:val="22"/>
          <w:szCs w:val="22"/>
          <w:rtl w:val="0"/>
        </w:rPr>
        <w:t xml:space="preserve">up to</w:t>
      </w:r>
      <w:r w:rsidDel="00000000" w:rsidR="00000000" w:rsidRPr="00000000">
        <w:rPr>
          <w:rFonts w:ascii="Avenir" w:cs="Avenir" w:eastAsia="Avenir" w:hAnsi="Avenir"/>
          <w:color w:val="000000"/>
          <w:sz w:val="22"/>
          <w:szCs w:val="22"/>
          <w:rtl w:val="0"/>
        </w:rPr>
        <w:t xml:space="preserve"> 15 weeks.</w:t>
      </w:r>
      <w:r w:rsidDel="00000000" w:rsidR="00000000" w:rsidRPr="00000000">
        <w:rPr>
          <w:rFonts w:ascii="Avenir" w:cs="Avenir" w:eastAsia="Avenir" w:hAnsi="Avenir"/>
          <w:color w:val="000000"/>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24">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Recommend using back-up if it has been more than 15 weeks since the last shot</w:t>
      </w:r>
    </w:p>
    <w:p w:rsidR="00000000" w:rsidDel="00000000" w:rsidP="00000000" w:rsidRDefault="00000000" w:rsidRPr="00000000" w14:paraId="00000025">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Offer prescription for the </w:t>
      </w:r>
      <w:hyperlink r:id="rId11">
        <w:r w:rsidDel="00000000" w:rsidR="00000000" w:rsidRPr="00000000">
          <w:rPr>
            <w:rFonts w:ascii="Avenir" w:cs="Avenir" w:eastAsia="Avenir" w:hAnsi="Avenir"/>
            <w:color w:val="1155cc"/>
            <w:sz w:val="22"/>
            <w:szCs w:val="22"/>
            <w:u w:val="single"/>
            <w:rtl w:val="0"/>
          </w:rPr>
          <w:t xml:space="preserve">DMPA-SQ (Depo-Provera Subcutaneous)</w:t>
        </w:r>
      </w:hyperlink>
      <w:r w:rsidDel="00000000" w:rsidR="00000000" w:rsidRPr="00000000">
        <w:rPr>
          <w:rFonts w:ascii="Avenir" w:cs="Avenir" w:eastAsia="Avenir" w:hAnsi="Avenir"/>
          <w:sz w:val="22"/>
          <w:szCs w:val="22"/>
          <w:rtl w:val="0"/>
        </w:rPr>
        <w:t xml:space="preserve"> shot that can be dispensed from the pharmacy and self-administered from home. Offer self-injection teaching over a video to support the patient self-administer DMPA-SQ from home. </w:t>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440" w:hanging="720"/>
        <w:rPr>
          <w:rFonts w:ascii="Avenir" w:cs="Avenir" w:eastAsia="Avenir" w:hAnsi="Avenir"/>
          <w:color w:val="000000"/>
          <w:sz w:val="22"/>
          <w:szCs w:val="22"/>
        </w:rPr>
      </w:pPr>
      <w:r w:rsidDel="00000000" w:rsidR="00000000" w:rsidRPr="00000000">
        <w:rPr>
          <w:rtl w:val="0"/>
        </w:rPr>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ind w:left="720" w:hanging="360"/>
        <w:rPr>
          <w:rFonts w:ascii="Avenir" w:cs="Avenir" w:eastAsia="Avenir" w:hAnsi="Avenir"/>
          <w:color w:val="000000"/>
          <w:sz w:val="22"/>
          <w:szCs w:val="22"/>
          <w:u w:val="single"/>
        </w:rPr>
      </w:pPr>
      <w:r w:rsidDel="00000000" w:rsidR="00000000" w:rsidRPr="00000000">
        <w:rPr>
          <w:rFonts w:ascii="Avenir" w:cs="Avenir" w:eastAsia="Avenir" w:hAnsi="Avenir"/>
          <w:sz w:val="22"/>
          <w:szCs w:val="22"/>
          <w:u w:val="single"/>
          <w:rtl w:val="0"/>
        </w:rPr>
        <w:t xml:space="preserve">Considerations for Emergency Contraception</w:t>
      </w:r>
      <w:r w:rsidDel="00000000" w:rsidR="00000000" w:rsidRPr="00000000">
        <w:rPr>
          <w:rtl w:val="0"/>
        </w:rPr>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color w:val="000000"/>
          <w:sz w:val="22"/>
          <w:szCs w:val="22"/>
          <w:rtl w:val="0"/>
        </w:rPr>
        <w:t xml:space="preserve">Ulipristal acetate EC (Ella) has high to medium </w:t>
      </w:r>
      <w:r w:rsidDel="00000000" w:rsidR="00000000" w:rsidRPr="00000000">
        <w:rPr>
          <w:rFonts w:ascii="Avenir" w:cs="Avenir" w:eastAsia="Avenir" w:hAnsi="Avenir"/>
          <w:sz w:val="22"/>
          <w:szCs w:val="22"/>
          <w:rtl w:val="0"/>
        </w:rPr>
        <w:t xml:space="preserve">effectiveness</w:t>
      </w:r>
      <w:r w:rsidDel="00000000" w:rsidR="00000000" w:rsidRPr="00000000">
        <w:rPr>
          <w:rFonts w:ascii="Avenir" w:cs="Avenir" w:eastAsia="Avenir" w:hAnsi="Avenir"/>
          <w:color w:val="000000"/>
          <w:sz w:val="22"/>
          <w:szCs w:val="22"/>
          <w:rtl w:val="0"/>
        </w:rPr>
        <w:t xml:space="preserve">, but this decreases </w:t>
      </w:r>
      <w:r w:rsidDel="00000000" w:rsidR="00000000" w:rsidRPr="00000000">
        <w:rPr>
          <w:rFonts w:ascii="Avenir" w:cs="Avenir" w:eastAsia="Avenir" w:hAnsi="Avenir"/>
          <w:sz w:val="22"/>
          <w:szCs w:val="22"/>
          <w:rtl w:val="0"/>
        </w:rPr>
        <w:t xml:space="preserve">with</w:t>
      </w:r>
      <w:r w:rsidDel="00000000" w:rsidR="00000000" w:rsidRPr="00000000">
        <w:rPr>
          <w:rFonts w:ascii="Avenir" w:cs="Avenir" w:eastAsia="Avenir" w:hAnsi="Avenir"/>
          <w:color w:val="000000"/>
          <w:sz w:val="22"/>
          <w:szCs w:val="22"/>
          <w:rtl w:val="0"/>
        </w:rPr>
        <w:t xml:space="preserve"> BMI &gt; 35.</w:t>
      </w:r>
      <w:r w:rsidDel="00000000" w:rsidR="00000000" w:rsidRPr="00000000">
        <w:rPr>
          <w:rtl w:val="0"/>
        </w:rPr>
      </w:r>
    </w:p>
    <w:p w:rsidR="00000000" w:rsidDel="00000000" w:rsidP="00000000" w:rsidRDefault="00000000" w:rsidRPr="00000000" w14:paraId="00000029">
      <w:pPr>
        <w:numPr>
          <w:ilvl w:val="2"/>
          <w:numId w:val="1"/>
        </w:numPr>
        <w:pBdr>
          <w:top w:space="0" w:sz="0" w:val="nil"/>
          <w:left w:space="0" w:sz="0" w:val="nil"/>
          <w:bottom w:space="0" w:sz="0" w:val="nil"/>
          <w:right w:space="0" w:sz="0" w:val="nil"/>
          <w:between w:space="0" w:sz="0" w:val="nil"/>
        </w:pBdr>
        <w:ind w:left="2160" w:hanging="180"/>
        <w:rPr>
          <w:rFonts w:ascii="Avenir" w:cs="Avenir" w:eastAsia="Avenir" w:hAnsi="Avenir"/>
          <w:sz w:val="22"/>
          <w:szCs w:val="22"/>
        </w:rPr>
      </w:pPr>
      <w:r w:rsidDel="00000000" w:rsidR="00000000" w:rsidRPr="00000000">
        <w:rPr>
          <w:rFonts w:ascii="Avenir" w:cs="Avenir" w:eastAsia="Avenir" w:hAnsi="Avenir"/>
          <w:sz w:val="22"/>
          <w:szCs w:val="22"/>
          <w:rtl w:val="0"/>
        </w:rPr>
        <w:t xml:space="preserve">Patients should be instructed to delay starting progestin-containing methods for 5 days after taking ulipristal acetate due to concerns for reduced contraceptive efficacy</w:t>
      </w:r>
    </w:p>
    <w:p w:rsidR="00000000" w:rsidDel="00000000" w:rsidP="00000000" w:rsidRDefault="00000000" w:rsidRPr="00000000" w14:paraId="0000002A">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color w:val="000000"/>
          <w:sz w:val="22"/>
          <w:szCs w:val="22"/>
          <w:rtl w:val="0"/>
        </w:rPr>
        <w:t xml:space="preserve">Levonorgestrel EC (Plan B, Next Choice, etc.) has low to medium </w:t>
      </w:r>
      <w:r w:rsidDel="00000000" w:rsidR="00000000" w:rsidRPr="00000000">
        <w:rPr>
          <w:rFonts w:ascii="Avenir" w:cs="Avenir" w:eastAsia="Avenir" w:hAnsi="Avenir"/>
          <w:sz w:val="22"/>
          <w:szCs w:val="22"/>
          <w:rtl w:val="0"/>
        </w:rPr>
        <w:t xml:space="preserve">effectiveness, and this decreases with BMI &gt; 26</w:t>
      </w:r>
      <w:r w:rsidDel="00000000" w:rsidR="00000000" w:rsidRPr="00000000">
        <w:rPr>
          <w:rFonts w:ascii="Avenir" w:cs="Avenir" w:eastAsia="Avenir" w:hAnsi="Avenir"/>
          <w:color w:val="000000"/>
          <w:sz w:val="22"/>
          <w:szCs w:val="22"/>
          <w:rtl w:val="0"/>
        </w:rPr>
        <w:t xml:space="preserve">.</w:t>
      </w:r>
      <w:r w:rsidDel="00000000" w:rsidR="00000000" w:rsidRPr="00000000">
        <w:rPr>
          <w:rFonts w:ascii="Avenir" w:cs="Avenir" w:eastAsia="Avenir" w:hAnsi="Avenir"/>
          <w:color w:val="000000"/>
          <w:sz w:val="22"/>
          <w:szCs w:val="22"/>
          <w:vertAlign w:val="superscript"/>
        </w:rPr>
        <w:footnoteReference w:customMarkFollows="0" w:id="2"/>
      </w:r>
      <w:r w:rsidDel="00000000" w:rsidR="00000000" w:rsidRPr="00000000">
        <w:rPr>
          <w:rtl w:val="0"/>
        </w:rPr>
      </w:r>
    </w:p>
    <w:p w:rsidR="00000000" w:rsidDel="00000000" w:rsidP="00000000" w:rsidRDefault="00000000" w:rsidRPr="00000000" w14:paraId="0000002B">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The IUD (Paragard, Mirena, and Liletta) can be used as EC</w:t>
      </w:r>
      <w:r w:rsidDel="00000000" w:rsidR="00000000" w:rsidRPr="00000000">
        <w:rPr>
          <w:rFonts w:ascii="Avenir" w:cs="Avenir" w:eastAsia="Avenir" w:hAnsi="Avenir"/>
          <w:sz w:val="22"/>
          <w:szCs w:val="22"/>
          <w:rtl w:val="0"/>
        </w:rPr>
        <w:t xml:space="preserve">. </w:t>
      </w:r>
      <w:r w:rsidDel="00000000" w:rsidR="00000000" w:rsidRPr="00000000">
        <w:rPr>
          <w:rtl w:val="0"/>
        </w:rPr>
      </w:r>
    </w:p>
    <w:p w:rsidR="00000000" w:rsidDel="00000000" w:rsidP="00000000" w:rsidRDefault="00000000" w:rsidRPr="00000000" w14:paraId="0000002C">
      <w:pPr>
        <w:numPr>
          <w:ilvl w:val="1"/>
          <w:numId w:val="1"/>
        </w:numPr>
        <w:pBdr>
          <w:top w:space="0" w:sz="0" w:val="nil"/>
          <w:left w:space="0" w:sz="0" w:val="nil"/>
          <w:bottom w:space="0" w:sz="0" w:val="nil"/>
          <w:right w:space="0" w:sz="0" w:val="nil"/>
          <w:between w:space="0" w:sz="0" w:val="nil"/>
        </w:pBd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All EC options can be used up to 5 days after unprotected sex. Levonorgestrel decreases in effectiveness after 3 days.</w:t>
      </w:r>
    </w:p>
    <w:p w:rsidR="00000000" w:rsidDel="00000000" w:rsidP="00000000" w:rsidRDefault="00000000" w:rsidRPr="00000000" w14:paraId="0000002D">
      <w:pPr>
        <w:numPr>
          <w:ilvl w:val="1"/>
          <w:numId w:val="1"/>
        </w:numPr>
        <w:ind w:left="1440" w:hanging="360"/>
        <w:rPr>
          <w:rFonts w:ascii="Avenir" w:cs="Avenir" w:eastAsia="Avenir" w:hAnsi="Avenir"/>
          <w:sz w:val="22"/>
          <w:szCs w:val="22"/>
        </w:rPr>
      </w:pPr>
      <w:r w:rsidDel="00000000" w:rsidR="00000000" w:rsidRPr="00000000">
        <w:rPr>
          <w:rFonts w:ascii="Avenir" w:cs="Avenir" w:eastAsia="Avenir" w:hAnsi="Avenir"/>
          <w:sz w:val="22"/>
          <w:szCs w:val="22"/>
          <w:rtl w:val="0"/>
        </w:rPr>
        <w:t xml:space="preserve">Consider advanced prescribing of emergency contraception</w:t>
      </w:r>
      <w:r w:rsidDel="00000000" w:rsidR="00000000" w:rsidRPr="00000000">
        <w:rPr>
          <w:rFonts w:ascii="Avenir" w:cs="Avenir" w:eastAsia="Avenir" w:hAnsi="Avenir"/>
          <w:sz w:val="22"/>
          <w:szCs w:val="22"/>
          <w:rtl w:val="0"/>
        </w:rPr>
        <w:t xml:space="preserve"> even if patient is using another contraceptive method</w:t>
      </w:r>
    </w:p>
    <w:p w:rsidR="00000000" w:rsidDel="00000000" w:rsidP="00000000" w:rsidRDefault="00000000" w:rsidRPr="00000000" w14:paraId="0000002E">
      <w:pPr>
        <w:rPr>
          <w:rFonts w:ascii="Avenir" w:cs="Avenir" w:eastAsia="Avenir" w:hAnsi="Avenir"/>
          <w:sz w:val="22"/>
          <w:szCs w:val="22"/>
        </w:rPr>
      </w:pPr>
      <w:bookmarkStart w:colFirst="0" w:colLast="0" w:name="_gjdgxs" w:id="0"/>
      <w:bookmarkEnd w:id="0"/>
      <w:r w:rsidDel="00000000" w:rsidR="00000000" w:rsidRPr="00000000">
        <w:rPr>
          <w:rtl w:val="0"/>
        </w:rPr>
      </w:r>
    </w:p>
    <w:sectPr>
      <w:headerReference r:id="rId12" w:type="default"/>
      <w:headerReference r:id="rId13" w:type="even"/>
      <w:footerReference r:id="rId14" w:type="default"/>
      <w:footerReference r:id="rId15" w:type="even"/>
      <w:pgSz w:h="15840" w:w="12240" w:orient="portrait"/>
      <w:pgMar w:bottom="1368" w:top="136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320"/>
        <w:tab w:val="right" w:leader="none" w:pos="8640"/>
      </w:tabs>
      <w:ind w:right="360"/>
      <w:rPr>
        <w:rFonts w:ascii="Avenir" w:cs="Avenir" w:eastAsia="Avenir" w:hAnsi="Avenir"/>
        <w:color w:val="000000"/>
        <w:sz w:val="22"/>
        <w:szCs w:val="22"/>
      </w:rPr>
    </w:pPr>
    <w:r w:rsidDel="00000000" w:rsidR="00000000" w:rsidRPr="00000000">
      <w:rPr>
        <w:rFonts w:ascii="Avenir" w:cs="Avenir" w:eastAsia="Avenir" w:hAnsi="Avenir"/>
        <w:sz w:val="22"/>
        <w:szCs w:val="22"/>
        <w:rtl w:val="0"/>
      </w:rPr>
      <w:t xml:space="preserve">August 2026</w:t>
    </w:r>
    <w:r w:rsidDel="00000000" w:rsidR="00000000" w:rsidRPr="00000000">
      <w:rPr>
        <w:rFonts w:ascii="Avenir" w:cs="Avenir" w:eastAsia="Avenir" w:hAnsi="Avenir"/>
        <w:color w:val="000000"/>
        <w:sz w:val="22"/>
        <w:szCs w:val="22"/>
        <w:rtl w:val="0"/>
      </w:rPr>
      <w:t xml:space="preserve"> / www.reproductiveaccess.org </w:t>
    </w:r>
    <w:r w:rsidDel="00000000" w:rsidR="00000000" w:rsidRPr="00000000">
      <w:drawing>
        <wp:anchor allowOverlap="1" behindDoc="0" distB="0" distT="0" distL="114300" distR="114300" hidden="0" layoutInCell="1" locked="0" relativeHeight="0" simplePos="0">
          <wp:simplePos x="0" y="0"/>
          <wp:positionH relativeFrom="column">
            <wp:posOffset>5715000</wp:posOffset>
          </wp:positionH>
          <wp:positionV relativeFrom="paragraph">
            <wp:posOffset>-59687</wp:posOffset>
          </wp:positionV>
          <wp:extent cx="914400" cy="45085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14400" cy="450850"/>
                  </a:xfrm>
                  <a:prstGeom prst="rect"/>
                  <a:ln/>
                </pic:spPr>
              </pic:pic>
            </a:graphicData>
          </a:graphic>
        </wp:anchor>
      </w:drawing>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320"/>
        <w:tab w:val="right" w:leader="none" w:pos="8640"/>
      </w:tabs>
      <w:rPr>
        <w:rFonts w:ascii="Avenir" w:cs="Avenir" w:eastAsia="Avenir" w:hAnsi="Avenir"/>
        <w:color w:val="000000"/>
        <w:sz w:val="22"/>
        <w:szCs w:val="2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2F">
      <w:pPr>
        <w:pBdr>
          <w:top w:space="0" w:sz="0" w:val="nil"/>
          <w:left w:space="0" w:sz="0" w:val="nil"/>
          <w:bottom w:space="0" w:sz="0" w:val="nil"/>
          <w:right w:space="0" w:sz="0" w:val="nil"/>
          <w:between w:space="0" w:sz="0" w:val="nil"/>
        </w:pBdr>
        <w:rPr>
          <w:rFonts w:ascii="Avenir" w:cs="Avenir" w:eastAsia="Avenir" w:hAnsi="Avenir"/>
          <w:sz w:val="18"/>
          <w:szCs w:val="18"/>
        </w:rPr>
      </w:pPr>
      <w:r w:rsidDel="00000000" w:rsidR="00000000" w:rsidRPr="00000000">
        <w:rPr>
          <w:rStyle w:val="FootnoteReference"/>
          <w:vertAlign w:val="superscript"/>
        </w:rPr>
        <w:footnoteRef/>
      </w:r>
      <w:r w:rsidDel="00000000" w:rsidR="00000000" w:rsidRPr="00000000">
        <w:rPr>
          <w:rFonts w:ascii="Avenir" w:cs="Avenir" w:eastAsia="Avenir" w:hAnsi="Avenir"/>
          <w:sz w:val="18"/>
          <w:szCs w:val="18"/>
          <w:rtl w:val="0"/>
        </w:rPr>
        <w:t xml:space="preserve">  Center for Disease Control and Prevention Morbidity and Mortality Weekly Report. U.S. Selected Practice Recommendations for Contraceptive Use, 2016. Recommendation and Reports. Vol. 65, No. 4. July 19, 2016.</w:t>
      </w:r>
    </w:p>
  </w:footnote>
  <w:footnote w:id="2">
    <w:p w:rsidR="00000000" w:rsidDel="00000000" w:rsidP="00000000" w:rsidRDefault="00000000" w:rsidRPr="00000000" w14:paraId="00000030">
      <w:pPr>
        <w:jc w:val="both"/>
        <w:rPr>
          <w:rFonts w:ascii="Avenir" w:cs="Avenir" w:eastAsia="Avenir" w:hAnsi="Avenir"/>
          <w:sz w:val="18"/>
          <w:szCs w:val="18"/>
        </w:rPr>
      </w:pPr>
      <w:r w:rsidDel="00000000" w:rsidR="00000000" w:rsidRPr="00000000">
        <w:rPr>
          <w:rStyle w:val="FootnoteReference"/>
          <w:vertAlign w:val="superscript"/>
        </w:rPr>
        <w:footnoteRef/>
      </w:r>
      <w:r w:rsidDel="00000000" w:rsidR="00000000" w:rsidRPr="00000000">
        <w:rPr>
          <w:rFonts w:ascii="Avenir" w:cs="Avenir" w:eastAsia="Avenir" w:hAnsi="Avenir"/>
          <w:sz w:val="18"/>
          <w:szCs w:val="18"/>
          <w:rtl w:val="0"/>
        </w:rPr>
        <w:t xml:space="preserve"> </w:t>
      </w:r>
      <w:r w:rsidDel="00000000" w:rsidR="00000000" w:rsidRPr="00000000">
        <w:rPr>
          <w:rFonts w:ascii="Avenir" w:cs="Avenir" w:eastAsia="Avenir" w:hAnsi="Avenir"/>
          <w:sz w:val="18"/>
          <w:szCs w:val="18"/>
          <w:highlight w:val="white"/>
          <w:rtl w:val="0"/>
        </w:rPr>
        <w:t xml:space="preserve">Glasier A, Cameron ST, Blithe D, et al. Can we identify women at risk of pregnancy despite using emergency contraception? Data from randomized trials of ulipristal acetate and levonorgestrel. Feb 2011, 84(2011): 363-367.  </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0">
    <w:p w:rsidR="00000000" w:rsidDel="00000000" w:rsidP="00000000" w:rsidRDefault="00000000" w:rsidRPr="00000000" w14:paraId="0000003B">
      <w:pPr>
        <w:rPr>
          <w:rFonts w:ascii="Avenir" w:cs="Avenir" w:eastAsia="Avenir" w:hAnsi="Avenir"/>
          <w:sz w:val="18"/>
          <w:szCs w:val="18"/>
        </w:rPr>
      </w:pPr>
      <w:r w:rsidDel="00000000" w:rsidR="00000000" w:rsidRPr="00000000">
        <w:rPr>
          <w:rStyle w:val="FootnoteReference"/>
          <w:vertAlign w:val="superscript"/>
        </w:rPr>
        <w:footnoteRef/>
      </w:r>
      <w:r w:rsidDel="00000000" w:rsidR="00000000" w:rsidRPr="00000000">
        <w:rPr>
          <w:rFonts w:ascii="Avenir" w:cs="Avenir" w:eastAsia="Avenir" w:hAnsi="Avenir"/>
          <w:sz w:val="18"/>
          <w:szCs w:val="18"/>
          <w:rtl w:val="0"/>
        </w:rPr>
        <w:t xml:space="preserve"> </w:t>
      </w:r>
      <w:r w:rsidDel="00000000" w:rsidR="00000000" w:rsidRPr="00000000">
        <w:rPr>
          <w:rFonts w:ascii="Avenir" w:cs="Avenir" w:eastAsia="Avenir" w:hAnsi="Avenir"/>
          <w:sz w:val="18"/>
          <w:szCs w:val="18"/>
          <w:rtl w:val="0"/>
        </w:rPr>
        <w:t xml:space="preserve">Dethier D, Qasba N, Kaneshiro B. Society of Family Planning clinical recommendation: Extended use of long-acting reversible contraception. Contraception2022;113. doi:10.1016/j.contraception.2022.06.003</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reproductiveaccess.org/resource/depo-subq-user-guide/" TargetMode="External"/><Relationship Id="rId10" Type="http://schemas.openxmlformats.org/officeDocument/2006/relationships/hyperlink" Target="https://rhntc.org/resources/how-be-reasonably-certain-client-not-pregnant-and-when-start-contraceptive-methods-palm.html"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hntc.org/resources/how-be-reasonably-certain-client-not-pregnant-and-when-start-contraceptive-methods-palm.html"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reproductiveaccess.org/resource/iud-self-removal/" TargetMode="External"/><Relationship Id="rId8" Type="http://schemas.openxmlformats.org/officeDocument/2006/relationships/hyperlink" Target="https://www.reproductiveaccess.org/resource/medical-eligibility-initiating-contraceptio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