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ind w:left="0" w:hanging="2"/>
        <w:rPr>
          <w:color w:val="000000"/>
          <w:sz w:val="22"/>
          <w:szCs w:val="22"/>
        </w:rPr>
      </w:pPr>
      <w:r w:rsidDel="00000000" w:rsidR="00000000" w:rsidRPr="00000000">
        <w:rPr>
          <w:rtl w:val="0"/>
        </w:rPr>
      </w:r>
    </w:p>
    <w:tbl>
      <w:tblPr>
        <w:tblStyle w:val="Table1"/>
        <w:tblW w:w="94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3150"/>
        <w:gridCol w:w="4050"/>
        <w:tblGridChange w:id="0">
          <w:tblGrid>
            <w:gridCol w:w="2268"/>
            <w:gridCol w:w="3150"/>
            <w:gridCol w:w="4050"/>
          </w:tblGrid>
        </w:tblGridChange>
      </w:tblGrid>
      <w:tr>
        <w:trPr>
          <w:cantSplit w:val="0"/>
          <w:tblHeader w:val="0"/>
        </w:trPr>
        <w:tc>
          <w:tcPr>
            <w:gridSpan w:val="2"/>
          </w:tcPr>
          <w:p w:rsidR="00000000" w:rsidDel="00000000" w:rsidP="00000000" w:rsidRDefault="00000000" w:rsidRPr="00000000" w14:paraId="00000002">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Subject:</w:t>
            </w:r>
            <w:r w:rsidDel="00000000" w:rsidR="00000000" w:rsidRPr="00000000">
              <w:rPr>
                <w:rFonts w:ascii="Avenir" w:cs="Avenir" w:eastAsia="Avenir" w:hAnsi="Avenir"/>
                <w:sz w:val="22"/>
                <w:szCs w:val="22"/>
                <w:rtl w:val="0"/>
              </w:rPr>
              <w:t xml:space="preserve">   Policy and Procedure for IUD Placement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ind w:left="0" w:hanging="2"/>
              <w:rPr>
                <w:rFonts w:ascii="Avenir" w:cs="Avenir" w:eastAsia="Avenir" w:hAnsi="Avenir"/>
                <w:sz w:val="22"/>
                <w:szCs w:val="22"/>
              </w:rPr>
            </w:pPr>
            <w:r w:rsidDel="00000000" w:rsidR="00000000" w:rsidRPr="00000000">
              <w:rPr>
                <w:rtl w:val="0"/>
              </w:rPr>
            </w:r>
          </w:p>
        </w:tc>
        <w:tc>
          <w:tcPr/>
          <w:p w:rsidR="00000000" w:rsidDel="00000000" w:rsidP="00000000" w:rsidRDefault="00000000" w:rsidRPr="00000000" w14:paraId="00000005">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Department:  </w:t>
            </w:r>
            <w:r w:rsidDel="00000000" w:rsidR="00000000" w:rsidRPr="00000000">
              <w:rPr>
                <w:rFonts w:ascii="Avenir" w:cs="Avenir" w:eastAsia="Avenir" w:hAnsi="Avenir"/>
                <w:sz w:val="22"/>
                <w:szCs w:val="22"/>
                <w:rtl w:val="0"/>
              </w:rPr>
              <w:t xml:space="preserve"> Clinical</w:t>
            </w:r>
          </w:p>
          <w:p w:rsidR="00000000" w:rsidDel="00000000" w:rsidP="00000000" w:rsidRDefault="00000000" w:rsidRPr="00000000" w14:paraId="00000006">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07">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Date: </w:t>
            </w:r>
            <w:r w:rsidDel="00000000" w:rsidR="00000000" w:rsidRPr="00000000">
              <w:rPr>
                <w:rtl w:val="0"/>
              </w:rPr>
            </w:r>
          </w:p>
          <w:p w:rsidR="00000000" w:rsidDel="00000000" w:rsidP="00000000" w:rsidRDefault="00000000" w:rsidRPr="00000000" w14:paraId="00000008">
            <w:pPr>
              <w:ind w:left="0" w:hanging="2"/>
              <w:rPr>
                <w:rFonts w:ascii="Avenir" w:cs="Avenir" w:eastAsia="Avenir" w:hAnsi="Avenir"/>
                <w:sz w:val="22"/>
                <w:szCs w:val="22"/>
              </w:rPr>
            </w:pPr>
            <w:r w:rsidDel="00000000" w:rsidR="00000000" w:rsidRPr="00000000">
              <w:rPr>
                <w:rtl w:val="0"/>
              </w:rPr>
            </w:r>
          </w:p>
        </w:tc>
        <w:tc>
          <w:tcPr/>
          <w:p w:rsidR="00000000" w:rsidDel="00000000" w:rsidP="00000000" w:rsidRDefault="00000000" w:rsidRPr="00000000" w14:paraId="00000009">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Prepared by:</w:t>
            </w:r>
            <w:r w:rsidDel="00000000" w:rsidR="00000000" w:rsidRPr="00000000">
              <w:rPr>
                <w:rtl w:val="0"/>
              </w:rPr>
            </w:r>
          </w:p>
          <w:p w:rsidR="00000000" w:rsidDel="00000000" w:rsidP="00000000" w:rsidRDefault="00000000" w:rsidRPr="00000000" w14:paraId="0000000A">
            <w:pPr>
              <w:ind w:left="0" w:hanging="2"/>
              <w:rPr>
                <w:rFonts w:ascii="Avenir" w:cs="Avenir" w:eastAsia="Avenir" w:hAnsi="Avenir"/>
                <w:sz w:val="22"/>
                <w:szCs w:val="22"/>
              </w:rPr>
            </w:pPr>
            <w:r w:rsidDel="00000000" w:rsidR="00000000" w:rsidRPr="00000000">
              <w:rPr>
                <w:rtl w:val="0"/>
              </w:rPr>
            </w:r>
          </w:p>
        </w:tc>
        <w:tc>
          <w:tcPr/>
          <w:p w:rsidR="00000000" w:rsidDel="00000000" w:rsidP="00000000" w:rsidRDefault="00000000" w:rsidRPr="00000000" w14:paraId="0000000B">
            <w:pPr>
              <w:ind w:left="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Approved by:</w:t>
            </w:r>
            <w:r w:rsidDel="00000000" w:rsidR="00000000" w:rsidRPr="00000000">
              <w:rPr>
                <w:rtl w:val="0"/>
              </w:rPr>
            </w:r>
          </w:p>
        </w:tc>
      </w:tr>
    </w:tbl>
    <w:p w:rsidR="00000000" w:rsidDel="00000000" w:rsidP="00000000" w:rsidRDefault="00000000" w:rsidRPr="00000000" w14:paraId="0000000C">
      <w:pPr>
        <w:ind w:left="0" w:hanging="2"/>
        <w:rPr>
          <w:rFonts w:ascii="Avenir" w:cs="Avenir" w:eastAsia="Avenir" w:hAnsi="Avenir"/>
        </w:rPr>
      </w:pPr>
      <w:r w:rsidDel="00000000" w:rsidR="00000000" w:rsidRPr="00000000">
        <w:rPr>
          <w:rtl w:val="0"/>
        </w:rPr>
      </w:r>
    </w:p>
    <w:p w:rsidR="00000000" w:rsidDel="00000000" w:rsidP="00000000" w:rsidRDefault="00000000" w:rsidRPr="00000000" w14:paraId="0000000D">
      <w:pPr>
        <w:ind w:left="0" w:hanging="2"/>
        <w:rPr>
          <w:rFonts w:ascii="Avenir" w:cs="Avenir" w:eastAsia="Avenir" w:hAnsi="Avenir"/>
        </w:rPr>
      </w:pPr>
      <w:r w:rsidDel="00000000" w:rsidR="00000000" w:rsidRPr="00000000">
        <w:rPr>
          <w:rFonts w:ascii="Avenir" w:cs="Avenir" w:eastAsia="Avenir" w:hAnsi="Avenir"/>
          <w:b w:val="1"/>
          <w:bCs w:val="1"/>
          <w:rtl w:val="0"/>
        </w:rPr>
        <w:t xml:space="preserve">I. Evaluation of insurance eligibility for IUDs </w:t>
      </w:r>
      <w:r w:rsidDel="00000000" w:rsidR="00000000" w:rsidRPr="00000000">
        <w:rPr>
          <w:rtl w:val="0"/>
        </w:rPr>
      </w:r>
    </w:p>
    <w:p w:rsidR="00000000" w:rsidDel="00000000" w:rsidP="00000000" w:rsidRDefault="00000000" w:rsidRPr="00000000" w14:paraId="0000000E">
      <w:pPr>
        <w:ind w:left="0" w:hanging="2"/>
        <w:rPr>
          <w:rFonts w:ascii="Avenir" w:cs="Avenir" w:eastAsia="Avenir" w:hAnsi="Avenir"/>
          <w:sz w:val="20"/>
          <w:szCs w:val="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F">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t>
      </w:r>
      <w:r w:rsidDel="00000000" w:rsidR="00000000" w:rsidRPr="00000000">
        <w:rPr>
          <w:rFonts w:ascii="Avenir" w:cs="Avenir" w:eastAsia="Avenir" w:hAnsi="Avenir"/>
          <w:sz w:val="20"/>
          <w:szCs w:val="20"/>
          <w:rtl w:val="0"/>
        </w:rPr>
        <w:t xml:space="preserve">appropriate support staff will verify with the patient’s insurance company to ensure the desired IUD is covered prior to the procedure. The results of this verification will be conveyed to nursing and documented in the patient’s chart.  </w:t>
      </w:r>
    </w:p>
    <w:p w:rsidR="00000000" w:rsidDel="00000000" w:rsidP="00000000" w:rsidRDefault="00000000" w:rsidRPr="00000000" w14:paraId="00000010">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Patients without insurance coverage should be referred to a case manager or financial counselor so that they can be enrolled in</w:t>
      </w:r>
      <w:r w:rsidDel="00000000" w:rsidR="00000000" w:rsidRPr="00000000">
        <w:rPr>
          <w:rtl w:val="0"/>
        </w:rPr>
        <w:t xml:space="preserve"> </w:t>
      </w:r>
      <w:r w:rsidDel="00000000" w:rsidR="00000000" w:rsidRPr="00000000">
        <w:rPr>
          <w:rFonts w:ascii="Avenir" w:cs="Avenir" w:eastAsia="Avenir" w:hAnsi="Avenir"/>
          <w:sz w:val="20"/>
          <w:szCs w:val="20"/>
          <w:rtl w:val="0"/>
        </w:rPr>
        <w:t xml:space="preserve">a health insurance plan if eligible, or to help them apply for a patient assistance program with the appropriate pharmaceutical company:</w:t>
      </w:r>
    </w:p>
    <w:p w:rsidR="00000000" w:rsidDel="00000000" w:rsidP="00000000" w:rsidRDefault="00000000" w:rsidRPr="00000000" w14:paraId="000000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0"/>
          <w:szCs w:val="20"/>
          <w:u w:val="none"/>
          <w:shd w:fill="auto" w:val="clear"/>
          <w:vertAlign w:val="baseline"/>
        </w:rPr>
      </w:pPr>
      <w:hyperlink r:id="rId7">
        <w:r w:rsidDel="00000000" w:rsidR="00000000" w:rsidRPr="00000000">
          <w:rPr>
            <w:rFonts w:ascii="Avenir" w:cs="Avenir" w:eastAsia="Avenir" w:hAnsi="Avenir"/>
            <w:b w:val="0"/>
            <w:bCs w:val="0"/>
            <w:i w:val="0"/>
            <w:iCs w:val="0"/>
            <w:smallCaps w:val="0"/>
            <w:strike w:val="0"/>
            <w:color w:val="1155cc"/>
            <w:sz w:val="20"/>
            <w:szCs w:val="20"/>
            <w:u w:val="single"/>
            <w:shd w:fill="auto" w:val="clear"/>
            <w:vertAlign w:val="baseline"/>
            <w:rtl w:val="0"/>
          </w:rPr>
          <w:t xml:space="preserve">Mirena</w:t>
        </w:r>
      </w:hyperlink>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hyperlink r:id="rId8">
        <w:r w:rsidDel="00000000" w:rsidR="00000000" w:rsidRPr="00000000">
          <w:rPr>
            <w:rFonts w:ascii="Avenir" w:cs="Avenir" w:eastAsia="Avenir" w:hAnsi="Avenir"/>
            <w:b w:val="0"/>
            <w:bCs w:val="0"/>
            <w:i w:val="0"/>
            <w:iCs w:val="0"/>
            <w:smallCaps w:val="0"/>
            <w:strike w:val="0"/>
            <w:color w:val="1155cc"/>
            <w:sz w:val="20"/>
            <w:szCs w:val="20"/>
            <w:u w:val="single"/>
            <w:shd w:fill="auto" w:val="clear"/>
            <w:vertAlign w:val="baseline"/>
            <w:rtl w:val="0"/>
          </w:rPr>
          <w:t xml:space="preserve">Kyleena</w:t>
        </w:r>
      </w:hyperlink>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Skyla: </w:t>
      </w:r>
      <w:hyperlink r:id="rId9">
        <w:r w:rsidDel="00000000" w:rsidR="00000000" w:rsidRPr="00000000">
          <w:rPr>
            <w:rFonts w:ascii="Avenir" w:cs="Avenir" w:eastAsia="Avenir" w:hAnsi="Avenir"/>
            <w:b w:val="0"/>
            <w:bCs w:val="0"/>
            <w:i w:val="0"/>
            <w:iCs w:val="0"/>
            <w:smallCaps w:val="0"/>
            <w:strike w:val="0"/>
            <w:color w:val="0000ff"/>
            <w:sz w:val="20"/>
            <w:szCs w:val="20"/>
            <w:u w:val="single"/>
            <w:shd w:fill="auto" w:val="clear"/>
            <w:vertAlign w:val="baseline"/>
            <w:rtl w:val="0"/>
          </w:rPr>
          <w:t xml:space="preserve">Bayer Support Programs</w:t>
        </w:r>
      </w:hyperlink>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(or call 1-888-842-2937)</w:t>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Liletta: </w:t>
      </w:r>
      <w:hyperlink r:id="rId10">
        <w:r w:rsidDel="00000000" w:rsidR="00000000" w:rsidRPr="00000000">
          <w:rPr>
            <w:rFonts w:ascii="Avenir" w:cs="Avenir" w:eastAsia="Avenir" w:hAnsi="Avenir"/>
            <w:color w:val="1155cc"/>
            <w:sz w:val="20"/>
            <w:szCs w:val="20"/>
            <w:u w:val="single"/>
            <w:rtl w:val="0"/>
          </w:rPr>
          <w:t xml:space="preserve">Liletta Access Connect</w:t>
        </w:r>
      </w:hyperlink>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sz w:val="20"/>
          <w:szCs w:val="20"/>
          <w:rtl w:val="0"/>
        </w:rPr>
        <w:t xml:space="preserve">ParaGard: ParaGard Patient Assistance Program (call 1-877-PARAGARD)</w:t>
      </w:r>
      <w:r w:rsidDel="00000000" w:rsidR="00000000" w:rsidRPr="00000000">
        <w:rPr>
          <w:rtl w:val="0"/>
        </w:rPr>
      </w:r>
    </w:p>
    <w:p w:rsidR="00000000" w:rsidDel="00000000" w:rsidP="00000000" w:rsidRDefault="00000000" w:rsidRPr="00000000" w14:paraId="00000014">
      <w:pPr>
        <w:ind w:left="0" w:hanging="2"/>
        <w:rPr>
          <w:rFonts w:ascii="Avenir" w:cs="Avenir" w:eastAsia="Avenir" w:hAnsi="Avenir"/>
        </w:rPr>
      </w:pPr>
      <w:r w:rsidDel="00000000" w:rsidR="00000000" w:rsidRPr="00000000">
        <w:rPr>
          <w:rtl w:val="0"/>
        </w:rPr>
      </w:r>
    </w:p>
    <w:p w:rsidR="00000000" w:rsidDel="00000000" w:rsidP="00000000" w:rsidRDefault="00000000" w:rsidRPr="00000000" w14:paraId="00000015">
      <w:pPr>
        <w:ind w:left="0" w:hanging="2"/>
        <w:rPr>
          <w:rFonts w:ascii="Avenir" w:cs="Avenir" w:eastAsia="Avenir" w:hAnsi="Avenir"/>
        </w:rPr>
      </w:pPr>
      <w:r w:rsidDel="00000000" w:rsidR="00000000" w:rsidRPr="00000000">
        <w:rPr>
          <w:rFonts w:ascii="Avenir" w:cs="Avenir" w:eastAsia="Avenir" w:hAnsi="Avenir"/>
          <w:b w:val="1"/>
          <w:bCs w:val="1"/>
          <w:rtl w:val="0"/>
        </w:rPr>
        <w:t xml:space="preserve">II. The Procedure </w:t>
      </w:r>
      <w:r w:rsidDel="00000000" w:rsidR="00000000" w:rsidRPr="00000000">
        <w:rPr>
          <w:rFonts w:ascii="Avenir" w:cs="Avenir" w:eastAsia="Avenir" w:hAnsi="Avenir"/>
          <w:rtl w:val="0"/>
        </w:rPr>
        <w:t xml:space="preserve"> </w:t>
      </w:r>
    </w:p>
    <w:p w:rsidR="00000000" w:rsidDel="00000000" w:rsidP="00000000" w:rsidRDefault="00000000" w:rsidRPr="00000000" w14:paraId="00000016">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Patients are not required to have a contraceptive counseling visit prior to an IUD insertion, but it should be offered to all patients. If a patient elects for an IUD during a contraceptive counseling visit, the clinician will make a reasonable effort to do the insertion that day if the patient would like to. </w:t>
      </w:r>
    </w:p>
    <w:p w:rsidR="00000000" w:rsidDel="00000000" w:rsidP="00000000" w:rsidRDefault="00000000" w:rsidRPr="00000000" w14:paraId="00000017">
      <w:pPr>
        <w:ind w:left="0" w:hanging="2"/>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18">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Policy and Procedure statement that follows applies to the IUD insertion visit.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Arrival</w:t>
      </w:r>
      <w:r w:rsidDel="00000000" w:rsidR="00000000" w:rsidRPr="00000000">
        <w:rPr>
          <w:rFonts w:ascii="Avenir" w:cs="Avenir" w:eastAsia="Avenir" w:hAnsi="Avenir"/>
          <w:b w:val="1"/>
          <w:bCs w:val="1"/>
          <w:sz w:val="20"/>
          <w:szCs w:val="20"/>
          <w:rtl w:val="0"/>
        </w:rPr>
        <w:t xml:space="preserve"> and </w:t>
      </w: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rooming: </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Patients will be </w:t>
      </w:r>
      <w:r w:rsidDel="00000000" w:rsidR="00000000" w:rsidRPr="00000000">
        <w:rPr>
          <w:rFonts w:ascii="Avenir" w:cs="Avenir" w:eastAsia="Avenir" w:hAnsi="Avenir"/>
          <w:sz w:val="20"/>
          <w:szCs w:val="20"/>
          <w:rtl w:val="0"/>
        </w:rPr>
        <w:t xml:space="preserve">checked in and roomed as normal. The medical assistant will take their vitals and collect a urine sample to run a urine pregnancy test</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Counseling and consent: </w:t>
      </w:r>
      <w:r w:rsidDel="00000000" w:rsidR="00000000" w:rsidRPr="00000000">
        <w:rPr>
          <w:rFonts w:ascii="Avenir" w:cs="Avenir" w:eastAsia="Avenir" w:hAnsi="Avenir"/>
          <w:sz w:val="20"/>
          <w:szCs w:val="20"/>
          <w:rtl w:val="0"/>
        </w:rPr>
        <w:t xml:space="preserve">All patients scheduled for an IUD insertion will be contacted by clinical staff (e.g. RN, LPN, Medical Assistant, Clinician) prior to their appointment with </w:t>
      </w:r>
      <w:hyperlink r:id="rId11">
        <w:r w:rsidDel="00000000" w:rsidR="00000000" w:rsidRPr="00000000">
          <w:rPr>
            <w:rFonts w:ascii="Avenir" w:cs="Avenir" w:eastAsia="Avenir" w:hAnsi="Avenir"/>
            <w:color w:val="1155cc"/>
            <w:sz w:val="20"/>
            <w:szCs w:val="20"/>
            <w:u w:val="single"/>
            <w:rtl w:val="0"/>
          </w:rPr>
          <w:t xml:space="preserve">options for managing pain during the procedure</w:t>
        </w:r>
      </w:hyperlink>
      <w:r w:rsidDel="00000000" w:rsidR="00000000" w:rsidRPr="00000000">
        <w:rPr>
          <w:rFonts w:ascii="Avenir" w:cs="Avenir" w:eastAsia="Avenir" w:hAnsi="Avenir"/>
          <w:sz w:val="20"/>
          <w:szCs w:val="20"/>
          <w:rtl w:val="0"/>
        </w:rPr>
        <w:t xml:space="preserve"> and provided with clear instructions if necessary. </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Each patient will have the opportunity to discuss all contraceptive options before the procedure visit. </w:t>
      </w:r>
      <w:r w:rsidDel="00000000" w:rsidR="00000000" w:rsidRPr="00000000">
        <w:rPr>
          <w:rFonts w:ascii="Avenir" w:cs="Avenir" w:eastAsia="Avenir" w:hAnsi="Avenir"/>
          <w:sz w:val="20"/>
          <w:szCs w:val="20"/>
          <w:rtl w:val="0"/>
        </w:rPr>
        <w:t xml:space="preserve">The clinician will counsel</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on how contraceptive options </w:t>
      </w:r>
      <w:r w:rsidDel="00000000" w:rsidR="00000000" w:rsidRPr="00000000">
        <w:rPr>
          <w:rFonts w:ascii="Avenir" w:cs="Avenir" w:eastAsia="Avenir" w:hAnsi="Avenir"/>
          <w:sz w:val="20"/>
          <w:szCs w:val="20"/>
          <w:rtl w:val="0"/>
        </w:rPr>
        <w:t xml:space="preserve">work, impact on bleeding, effectiveness, and potential side effects. </w:t>
      </w:r>
      <w:r w:rsidDel="00000000" w:rsidR="00000000" w:rsidRPr="00000000">
        <w:rPr>
          <w:rFonts w:ascii="Avenir" w:cs="Avenir" w:eastAsia="Avenir" w:hAnsi="Avenir"/>
          <w:b w:val="0"/>
          <w:bCs w:val="0"/>
          <w:i w:val="0"/>
          <w:iCs w:val="0"/>
          <w:smallCaps w:val="0"/>
          <w:strike w:val="0"/>
          <w:sz w:val="20"/>
          <w:szCs w:val="20"/>
          <w:u w:val="none"/>
          <w:shd w:fill="auto" w:val="clear"/>
          <w:vertAlign w:val="baseline"/>
          <w:rtl w:val="0"/>
        </w:rPr>
        <w:t xml:space="preserve">Review what to expect during the procedure and </w:t>
      </w:r>
      <w:r w:rsidDel="00000000" w:rsidR="00000000" w:rsidRPr="00000000">
        <w:rPr>
          <w:rFonts w:ascii="Avenir" w:cs="Avenir" w:eastAsia="Avenir" w:hAnsi="Avenir"/>
          <w:sz w:val="20"/>
          <w:szCs w:val="20"/>
          <w:rtl w:val="0"/>
        </w:rPr>
        <w:t xml:space="preserve">ensure the patient</w:t>
      </w:r>
      <w:r w:rsidDel="00000000" w:rsidR="00000000" w:rsidRPr="00000000">
        <w:rPr>
          <w:rFonts w:ascii="Avenir" w:cs="Avenir" w:eastAsia="Avenir" w:hAnsi="Avenir"/>
          <w:b w:val="0"/>
          <w:bCs w:val="0"/>
          <w:i w:val="0"/>
          <w:iCs w:val="0"/>
          <w:smallCaps w:val="0"/>
          <w:strike w:val="0"/>
          <w:sz w:val="20"/>
          <w:szCs w:val="20"/>
          <w:u w:val="none"/>
          <w:shd w:fill="auto" w:val="clear"/>
          <w:vertAlign w:val="baseline"/>
          <w:rtl w:val="0"/>
        </w:rPr>
        <w:t xml:space="preserve"> understands and </w:t>
      </w:r>
      <w:r w:rsidDel="00000000" w:rsidR="00000000" w:rsidRPr="00000000">
        <w:rPr>
          <w:rFonts w:ascii="Avenir" w:cs="Avenir" w:eastAsia="Avenir" w:hAnsi="Avenir"/>
          <w:sz w:val="20"/>
          <w:szCs w:val="20"/>
          <w:rtl w:val="0"/>
        </w:rPr>
        <w:t xml:space="preserve">has been</w:t>
      </w:r>
      <w:r w:rsidDel="00000000" w:rsidR="00000000" w:rsidRPr="00000000">
        <w:rPr>
          <w:rFonts w:ascii="Avenir" w:cs="Avenir" w:eastAsia="Avenir" w:hAnsi="Avenir"/>
          <w:b w:val="0"/>
          <w:bCs w:val="0"/>
          <w:i w:val="0"/>
          <w:iCs w:val="0"/>
          <w:smallCaps w:val="0"/>
          <w:strike w:val="0"/>
          <w:sz w:val="20"/>
          <w:szCs w:val="20"/>
          <w:u w:val="none"/>
          <w:shd w:fill="auto" w:val="clear"/>
          <w:vertAlign w:val="baseline"/>
          <w:rtl w:val="0"/>
        </w:rPr>
        <w:t xml:space="preserve"> offered available pain management options according to their needs and preferences.</w:t>
      </w:r>
      <w:r w:rsidDel="00000000" w:rsidR="00000000" w:rsidRPr="00000000">
        <w:rPr>
          <w:rFonts w:ascii="Avenir" w:cs="Avenir" w:eastAsia="Avenir" w:hAnsi="Avenir"/>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The procedure consent form will be signed at this time. </w:t>
      </w:r>
      <w:r w:rsidDel="00000000" w:rsidR="00000000" w:rsidRPr="00000000">
        <w:rPr>
          <w:rFonts w:ascii="Avenir" w:cs="Avenir" w:eastAsia="Avenir" w:hAnsi="Avenir"/>
          <w:sz w:val="20"/>
          <w:szCs w:val="20"/>
          <w:rtl w:val="0"/>
        </w:rPr>
        <w:t xml:space="preserve">If patients are hesitant, unsure, or undecided, they should be reminded that they do not have to do the insertion that day if they do not want to.</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Set up: </w:t>
      </w:r>
      <w:r w:rsidDel="00000000" w:rsidR="00000000" w:rsidRPr="00000000">
        <w:rPr>
          <w:rFonts w:ascii="Avenir" w:cs="Avenir" w:eastAsia="Avenir" w:hAnsi="Avenir"/>
          <w:sz w:val="20"/>
          <w:szCs w:val="20"/>
          <w:rtl w:val="0"/>
        </w:rPr>
        <w:t xml:space="preserve">C</w:t>
      </w: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linica</w:t>
      </w:r>
      <w:r w:rsidDel="00000000" w:rsidR="00000000" w:rsidRPr="00000000">
        <w:rPr>
          <w:rFonts w:ascii="Avenir" w:cs="Avenir" w:eastAsia="Avenir" w:hAnsi="Avenir"/>
          <w:sz w:val="20"/>
          <w:szCs w:val="20"/>
          <w:rtl w:val="0"/>
        </w:rPr>
        <w:t xml:space="preserve">l support staff </w:t>
      </w:r>
      <w:r w:rsidDel="00000000" w:rsidR="00000000" w:rsidRPr="00000000">
        <w:rPr>
          <w:rFonts w:ascii="Avenir" w:cs="Avenir" w:eastAsia="Avenir" w:hAnsi="Avenir"/>
          <w:sz w:val="20"/>
          <w:szCs w:val="20"/>
          <w:rtl w:val="0"/>
        </w:rPr>
        <w:t xml:space="preserve">will set up the equipment tray with all necessary equipment and supplies for the insertion (see: III. Equipment).</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Procedure: </w:t>
      </w:r>
    </w:p>
    <w:p w:rsidR="00000000" w:rsidDel="00000000" w:rsidP="00000000" w:rsidRDefault="00000000" w:rsidRPr="00000000" w14:paraId="0000001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The clinic</w:t>
      </w:r>
      <w:r w:rsidDel="00000000" w:rsidR="00000000" w:rsidRPr="00000000">
        <w:rPr>
          <w:rFonts w:ascii="Avenir" w:cs="Avenir" w:eastAsia="Avenir" w:hAnsi="Avenir"/>
          <w:sz w:val="20"/>
          <w:szCs w:val="20"/>
          <w:rtl w:val="0"/>
        </w:rPr>
        <w:t xml:space="preserve">ian will confirm the negative results of the pregnancy test prior to starting the procedure. If the pregnancy test is positive, the clinician will provide options counseling to the patient with appropriate referrals if necessary.</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clinician and a staff member or additional clinician will be with the patient during the procedure. </w:t>
      </w:r>
    </w:p>
    <w:p w:rsidR="00000000" w:rsidDel="00000000" w:rsidP="00000000" w:rsidRDefault="00000000" w:rsidRPr="00000000" w14:paraId="0000002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patient will undress from the waist down and be covered with a drape.</w:t>
      </w:r>
    </w:p>
    <w:p w:rsidR="00000000" w:rsidDel="00000000" w:rsidP="00000000" w:rsidRDefault="00000000" w:rsidRPr="00000000" w14:paraId="0000002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clinician will perform a bimanual exam and place a speculum.</w:t>
      </w:r>
    </w:p>
    <w:p w:rsidR="00000000" w:rsidDel="00000000" w:rsidP="00000000" w:rsidRDefault="00000000" w:rsidRPr="00000000" w14:paraId="0000002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Testing for sexually transmitted infections may be done if medically indicated or requested by the patient. The clinical support staff will label the appropriate specimen collection container and follow appropriate clinical procedure to ensure specimen is sent to the laboratory. </w:t>
      </w:r>
    </w:p>
    <w:p w:rsidR="00000000" w:rsidDel="00000000" w:rsidP="00000000" w:rsidRDefault="00000000" w:rsidRPr="00000000" w14:paraId="0000002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clinician will swab the cervix with an appropriate antiseptic.</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“No-Touch Technique”</w:t>
      </w:r>
      <w:r w:rsidDel="00000000" w:rsidR="00000000" w:rsidRPr="00000000">
        <w:rPr>
          <w:rFonts w:ascii="Avenir" w:cs="Avenir" w:eastAsia="Avenir" w:hAnsi="Avenir"/>
          <w:b w:val="1"/>
          <w:bCs w:val="1"/>
          <w:i w:val="1"/>
          <w:iCs w:val="1"/>
          <w:sz w:val="20"/>
          <w:szCs w:val="20"/>
          <w:rtl w:val="0"/>
        </w:rPr>
        <w:t xml:space="preserve"> </w:t>
      </w:r>
      <w:r w:rsidDel="00000000" w:rsidR="00000000" w:rsidRPr="00000000">
        <w:rPr>
          <w:rFonts w:ascii="Avenir" w:cs="Avenir" w:eastAsia="Avenir" w:hAnsi="Avenir"/>
          <w:sz w:val="20"/>
          <w:szCs w:val="20"/>
          <w:rtl w:val="0"/>
        </w:rPr>
        <w:t xml:space="preserve">will be observed throughout the procedure, where any portions of instruments that enter the uterus are sterile and not touched by the clinician. The clinical support staff will ensure any instruments handed to the clinician are sterile.</w:t>
      </w:r>
    </w:p>
    <w:p w:rsidR="00000000" w:rsidDel="00000000" w:rsidP="00000000" w:rsidRDefault="00000000" w:rsidRPr="00000000" w14:paraId="0000002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clinician may provide local anesthesia with a paracervical block.</w:t>
      </w:r>
      <w:r w:rsidDel="00000000" w:rsidR="00000000" w:rsidRPr="00000000">
        <w:rPr>
          <w:rFonts w:ascii="Avenir" w:cs="Avenir" w:eastAsia="Avenir" w:hAnsi="Avenir"/>
          <w:sz w:val="20"/>
          <w:szCs w:val="20"/>
          <w:rtl w:val="0"/>
        </w:rPr>
        <w:t xml:space="preserve"> The clinical support staff will pull all necessary equipment for a paracervical block.</w:t>
      </w:r>
    </w:p>
    <w:p w:rsidR="00000000" w:rsidDel="00000000" w:rsidP="00000000" w:rsidRDefault="00000000" w:rsidRPr="00000000" w14:paraId="0000002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clinician will use a sound to measure the depth of the uterus. If the uterus sounds at a depth of 5 cm or less, the IUD will not be inserted. </w:t>
      </w:r>
      <w:r w:rsidDel="00000000" w:rsidR="00000000" w:rsidRPr="00000000">
        <w:rPr>
          <w:rFonts w:ascii="Avenir" w:cs="Avenir" w:eastAsia="Avenir" w:hAnsi="Avenir"/>
          <w:sz w:val="20"/>
          <w:szCs w:val="20"/>
          <w:rtl w:val="0"/>
        </w:rPr>
        <w:t xml:space="preserve">If the depth is greater than 5 cm, the IUD inserter will then be set to the proper depth and loaded under sterile conditions. The IUD will then be inserted and deployed according to the manufacturer’s instructions.</w:t>
      </w:r>
    </w:p>
    <w:p w:rsidR="00000000" w:rsidDel="00000000" w:rsidP="00000000" w:rsidRDefault="00000000" w:rsidRPr="00000000" w14:paraId="0000002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sz w:val="20"/>
          <w:szCs w:val="20"/>
          <w:rtl w:val="0"/>
        </w:rPr>
        <w:t xml:space="preserve">The inserter will be removed and the strings will be cut at 3 to 4 cm in length. The tenaculum will be removed and after hemostasis is confirmed, the speculum will also be removed and the patient’s legs will be placed on the foot piece of the exam table while the patient rests.</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Avenir" w:cs="Avenir" w:eastAsia="Avenir" w:hAnsi="Avenir"/>
          <w:sz w:val="20"/>
          <w:szCs w:val="20"/>
          <w:u w:val="none"/>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Recovery: </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Patients will recover in the same exam room for a few minutes, under observation of clinical support staff. When the patient feels ready, they will get off the exam table and get dressed. The</w:t>
      </w:r>
      <w:hyperlink r:id="rId12">
        <w:r w:rsidDel="00000000" w:rsidR="00000000" w:rsidRPr="00000000">
          <w:rPr>
            <w:rFonts w:ascii="Avenir" w:cs="Avenir" w:eastAsia="Avenir" w:hAnsi="Avenir"/>
            <w:b w:val="0"/>
            <w:bCs w:val="0"/>
            <w:i w:val="0"/>
            <w:iCs w:val="0"/>
            <w:smallCaps w:val="0"/>
            <w:strike w:val="0"/>
            <w:color w:val="1155cc"/>
            <w:sz w:val="20"/>
            <w:szCs w:val="20"/>
            <w:u w:val="single"/>
            <w:shd w:fill="auto" w:val="clear"/>
            <w:vertAlign w:val="baseline"/>
            <w:rtl w:val="0"/>
          </w:rPr>
          <w:t xml:space="preserve"> </w:t>
        </w:r>
      </w:hyperlink>
      <w:hyperlink r:id="rId13">
        <w:r w:rsidDel="00000000" w:rsidR="00000000" w:rsidRPr="00000000">
          <w:rPr>
            <w:rFonts w:ascii="Avenir" w:cs="Avenir" w:eastAsia="Avenir" w:hAnsi="Avenir"/>
            <w:b w:val="0"/>
            <w:bCs w:val="0"/>
            <w:i w:val="0"/>
            <w:iCs w:val="0"/>
            <w:smallCaps w:val="0"/>
            <w:strike w:val="0"/>
            <w:color w:val="1155cc"/>
            <w:sz w:val="20"/>
            <w:szCs w:val="20"/>
            <w:u w:val="single"/>
            <w:shd w:fill="auto" w:val="clear"/>
            <w:vertAlign w:val="baseline"/>
            <w:rtl w:val="0"/>
          </w:rPr>
          <w:t xml:space="preserve">IUD take-home information sheet</w:t>
        </w:r>
      </w:hyperlink>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will be reviewed with the patient. When the patient is ready, and staff and </w:t>
      </w:r>
      <w:r w:rsidDel="00000000" w:rsidR="00000000" w:rsidRPr="00000000">
        <w:rPr>
          <w:rFonts w:ascii="Avenir" w:cs="Avenir" w:eastAsia="Avenir" w:hAnsi="Avenir"/>
          <w:sz w:val="20"/>
          <w:szCs w:val="20"/>
          <w:rtl w:val="0"/>
        </w:rPr>
        <w:t xml:space="preserve">clinician</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confirm that the patient is stable, the patient may leave.</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Discharge and follow-up</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venir" w:cs="Avenir" w:eastAsia="Avenir" w:hAnsi="Avenir"/>
          <w:sz w:val="20"/>
          <w:szCs w:val="20"/>
          <w:rtl w:val="0"/>
        </w:rPr>
        <w:t xml:space="preserve">Ensure the patient receives information</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about when the IUD needs to be removed by, symptoms that signal needing to call the office, and a reminder that they can have the IUD removed at any time. They will also be given a phone number and enrollment (if not done already) in the electronic health record patient portal.</w:t>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0"/>
          <w:szCs w:val="20"/>
          <w:u w:val="none"/>
          <w:shd w:fill="auto" w:val="clear"/>
        </w:rPr>
      </w:pP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Documentation</w:t>
      </w:r>
      <w:r w:rsidDel="00000000" w:rsidR="00000000" w:rsidRPr="00000000">
        <w:rPr>
          <w:rFonts w:ascii="Avenir" w:cs="Avenir" w:eastAsia="Avenir" w:hAnsi="Avenir"/>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venir" w:cs="Avenir" w:eastAsia="Avenir" w:hAnsi="Avenir"/>
          <w:sz w:val="20"/>
          <w:szCs w:val="20"/>
          <w:rtl w:val="0"/>
        </w:rPr>
        <w:t xml:space="preserve">T</w:t>
      </w:r>
      <w:r w:rsidDel="00000000" w:rsidR="00000000" w:rsidRPr="00000000">
        <w:rPr>
          <w:rFonts w:ascii="Avenir" w:cs="Avenir" w:eastAsia="Avenir" w:hAnsi="Avenir"/>
          <w:sz w:val="20"/>
          <w:szCs w:val="20"/>
          <w:rtl w:val="0"/>
        </w:rPr>
        <w:t xml:space="preserve">he IUD type, the lot number, and the expiration date of the IUD will be documented in the medical record.</w:t>
      </w:r>
      <w:r w:rsidDel="00000000" w:rsidR="00000000" w:rsidRPr="00000000">
        <w:rPr>
          <w:rtl w:val="0"/>
        </w:rPr>
      </w:r>
    </w:p>
    <w:p w:rsidR="00000000" w:rsidDel="00000000" w:rsidP="00000000" w:rsidRDefault="00000000" w:rsidRPr="00000000" w14:paraId="0000002B">
      <w:pPr>
        <w:pStyle w:val="Heading2"/>
        <w:ind w:left="-2" w:firstLine="0"/>
        <w:rPr>
          <w:rFonts w:ascii="Avenir" w:cs="Avenir" w:eastAsia="Avenir" w:hAnsi="Avenir"/>
        </w:rPr>
      </w:pPr>
      <w:r w:rsidDel="00000000" w:rsidR="00000000" w:rsidRPr="00000000">
        <w:rPr>
          <w:rtl w:val="0"/>
        </w:rPr>
      </w:r>
    </w:p>
    <w:p w:rsidR="00000000" w:rsidDel="00000000" w:rsidP="00000000" w:rsidRDefault="00000000" w:rsidRPr="00000000" w14:paraId="0000002C">
      <w:pPr>
        <w:pStyle w:val="Heading2"/>
        <w:ind w:left="0" w:hanging="2"/>
        <w:rPr/>
      </w:pPr>
      <w:r w:rsidDel="00000000" w:rsidR="00000000" w:rsidRPr="00000000">
        <w:rPr>
          <w:rFonts w:ascii="Avenir" w:cs="Avenir" w:eastAsia="Avenir" w:hAnsi="Avenir"/>
          <w:rtl w:val="0"/>
        </w:rPr>
        <w:t xml:space="preserve">III. Equipment</w:t>
      </w:r>
      <w:r w:rsidDel="00000000" w:rsidR="00000000" w:rsidRPr="00000000">
        <w:rPr>
          <w:rtl w:val="0"/>
        </w:rPr>
      </w:r>
    </w:p>
    <w:p w:rsidR="00000000" w:rsidDel="00000000" w:rsidP="00000000" w:rsidRDefault="00000000" w:rsidRPr="00000000" w14:paraId="0000002D">
      <w:pPr>
        <w:ind w:left="0" w:hanging="2"/>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2E">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1. </w:t>
      </w:r>
      <w:r w:rsidDel="00000000" w:rsidR="00000000" w:rsidRPr="00000000">
        <w:rPr>
          <w:rFonts w:ascii="Avenir" w:cs="Avenir" w:eastAsia="Avenir" w:hAnsi="Avenir"/>
          <w:sz w:val="20"/>
          <w:szCs w:val="20"/>
          <w:u w:val="single"/>
          <w:rtl w:val="0"/>
        </w:rPr>
        <w:t xml:space="preserve">Equipment</w:t>
      </w:r>
      <w:r w:rsidDel="00000000" w:rsidR="00000000" w:rsidRPr="00000000">
        <w:rPr>
          <w:rtl w:val="0"/>
        </w:rPr>
      </w:r>
    </w:p>
    <w:p w:rsidR="00000000" w:rsidDel="00000000" w:rsidP="00000000" w:rsidRDefault="00000000" w:rsidRPr="00000000" w14:paraId="0000002F">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Speculum</w:t>
      </w:r>
      <w:r w:rsidDel="00000000" w:rsidR="00000000" w:rsidRPr="00000000">
        <w:rPr>
          <w:rtl w:val="0"/>
        </w:rPr>
      </w:r>
    </w:p>
    <w:p w:rsidR="00000000" w:rsidDel="00000000" w:rsidP="00000000" w:rsidRDefault="00000000" w:rsidRPr="00000000" w14:paraId="00000030">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Tenaculum </w:t>
      </w:r>
      <w:r w:rsidDel="00000000" w:rsidR="00000000" w:rsidRPr="00000000">
        <w:rPr>
          <w:rtl w:val="0"/>
        </w:rPr>
      </w:r>
    </w:p>
    <w:p w:rsidR="00000000" w:rsidDel="00000000" w:rsidP="00000000" w:rsidRDefault="00000000" w:rsidRPr="00000000" w14:paraId="00000031">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Scissors</w:t>
      </w:r>
      <w:r w:rsidDel="00000000" w:rsidR="00000000" w:rsidRPr="00000000">
        <w:rPr>
          <w:rtl w:val="0"/>
        </w:rPr>
      </w:r>
    </w:p>
    <w:p w:rsidR="00000000" w:rsidDel="00000000" w:rsidP="00000000" w:rsidRDefault="00000000" w:rsidRPr="00000000" w14:paraId="00000032">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Ringed forceps</w:t>
      </w:r>
      <w:r w:rsidDel="00000000" w:rsidR="00000000" w:rsidRPr="00000000">
        <w:rPr>
          <w:rtl w:val="0"/>
        </w:rPr>
      </w:r>
    </w:p>
    <w:p w:rsidR="00000000" w:rsidDel="00000000" w:rsidP="00000000" w:rsidRDefault="00000000" w:rsidRPr="00000000" w14:paraId="00000033">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Sterile or clean gauze</w:t>
      </w:r>
      <w:r w:rsidDel="00000000" w:rsidR="00000000" w:rsidRPr="00000000">
        <w:rPr>
          <w:rtl w:val="0"/>
        </w:rPr>
      </w:r>
    </w:p>
    <w:p w:rsidR="00000000" w:rsidDel="00000000" w:rsidP="00000000" w:rsidRDefault="00000000" w:rsidRPr="00000000" w14:paraId="00000034">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Uterine Sound</w:t>
      </w:r>
      <w:r w:rsidDel="00000000" w:rsidR="00000000" w:rsidRPr="00000000">
        <w:rPr>
          <w:rtl w:val="0"/>
        </w:rPr>
      </w:r>
    </w:p>
    <w:p w:rsidR="00000000" w:rsidDel="00000000" w:rsidP="00000000" w:rsidRDefault="00000000" w:rsidRPr="00000000" w14:paraId="00000035">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Dilator and/or Os finders</w:t>
      </w:r>
      <w:r w:rsidDel="00000000" w:rsidR="00000000" w:rsidRPr="00000000">
        <w:rPr>
          <w:rtl w:val="0"/>
        </w:rPr>
      </w:r>
    </w:p>
    <w:p w:rsidR="00000000" w:rsidDel="00000000" w:rsidP="00000000" w:rsidRDefault="00000000" w:rsidRPr="00000000" w14:paraId="00000036">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Large cotton swabs</w:t>
      </w:r>
      <w:r w:rsidDel="00000000" w:rsidR="00000000" w:rsidRPr="00000000">
        <w:rPr>
          <w:rtl w:val="0"/>
        </w:rPr>
      </w:r>
    </w:p>
    <w:p w:rsidR="00000000" w:rsidDel="00000000" w:rsidP="00000000" w:rsidRDefault="00000000" w:rsidRPr="00000000" w14:paraId="00000037">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Betadine or chlorhexidine</w:t>
      </w:r>
      <w:r w:rsidDel="00000000" w:rsidR="00000000" w:rsidRPr="00000000">
        <w:rPr>
          <w:rtl w:val="0"/>
        </w:rPr>
      </w:r>
    </w:p>
    <w:p w:rsidR="00000000" w:rsidDel="00000000" w:rsidP="00000000" w:rsidRDefault="00000000" w:rsidRPr="00000000" w14:paraId="00000038">
      <w:pPr>
        <w:numPr>
          <w:ilvl w:val="1"/>
          <w:numId w:val="2"/>
        </w:numPr>
        <w:ind w:left="720" w:hanging="360"/>
        <w:rPr>
          <w:sz w:val="20"/>
          <w:szCs w:val="20"/>
        </w:rPr>
      </w:pPr>
      <w:r w:rsidDel="00000000" w:rsidR="00000000" w:rsidRPr="00000000">
        <w:rPr>
          <w:rFonts w:ascii="Avenir" w:cs="Avenir" w:eastAsia="Avenir" w:hAnsi="Avenir"/>
          <w:b w:val="1"/>
          <w:bCs w:val="1"/>
          <w:sz w:val="20"/>
          <w:szCs w:val="20"/>
          <w:rtl w:val="0"/>
        </w:rPr>
        <w:t xml:space="preserve">Monsel’s solution or silver nitrate sticks</w:t>
      </w:r>
      <w:r w:rsidDel="00000000" w:rsidR="00000000" w:rsidRPr="00000000">
        <w:rPr>
          <w:rtl w:val="0"/>
        </w:rPr>
      </w:r>
    </w:p>
    <w:p w:rsidR="00000000" w:rsidDel="00000000" w:rsidP="00000000" w:rsidRDefault="00000000" w:rsidRPr="00000000" w14:paraId="00000039">
      <w:pPr>
        <w:numPr>
          <w:ilvl w:val="1"/>
          <w:numId w:val="2"/>
        </w:numPr>
        <w:ind w:left="720" w:hanging="360"/>
        <w:rPr>
          <w:sz w:val="20"/>
          <w:szCs w:val="20"/>
        </w:rPr>
      </w:pPr>
      <w:r w:rsidDel="00000000" w:rsidR="00000000" w:rsidRPr="00000000">
        <w:rPr>
          <w:rFonts w:ascii="Avenir" w:cs="Avenir" w:eastAsia="Avenir" w:hAnsi="Avenir"/>
          <w:sz w:val="20"/>
          <w:szCs w:val="20"/>
          <w:rtl w:val="0"/>
        </w:rPr>
        <w:t xml:space="preserve">Topical anesthetic (optional)</w:t>
      </w:r>
    </w:p>
    <w:p w:rsidR="00000000" w:rsidDel="00000000" w:rsidP="00000000" w:rsidRDefault="00000000" w:rsidRPr="00000000" w14:paraId="0000003A">
      <w:pPr>
        <w:numPr>
          <w:ilvl w:val="1"/>
          <w:numId w:val="2"/>
        </w:numPr>
        <w:ind w:left="720" w:hanging="360"/>
        <w:rPr>
          <w:sz w:val="20"/>
          <w:szCs w:val="20"/>
        </w:rPr>
      </w:pPr>
      <w:r w:rsidDel="00000000" w:rsidR="00000000" w:rsidRPr="00000000">
        <w:rPr>
          <w:rFonts w:ascii="Avenir" w:cs="Avenir" w:eastAsia="Avenir" w:hAnsi="Avenir"/>
          <w:sz w:val="20"/>
          <w:szCs w:val="20"/>
          <w:rtl w:val="0"/>
        </w:rPr>
        <w:t xml:space="preserve">Paracervical block (optional)</w:t>
      </w:r>
    </w:p>
    <w:p w:rsidR="00000000" w:rsidDel="00000000" w:rsidP="00000000" w:rsidRDefault="00000000" w:rsidRPr="00000000" w14:paraId="0000003B">
      <w:pPr>
        <w:numPr>
          <w:ilvl w:val="1"/>
          <w:numId w:val="2"/>
        </w:numPr>
        <w:ind w:left="1440" w:hanging="360"/>
        <w:rPr>
          <w:sz w:val="20"/>
          <w:szCs w:val="20"/>
        </w:rPr>
      </w:pPr>
      <w:r w:rsidDel="00000000" w:rsidR="00000000" w:rsidRPr="00000000">
        <w:rPr>
          <w:rFonts w:ascii="Avenir" w:cs="Avenir" w:eastAsia="Avenir" w:hAnsi="Avenir"/>
          <w:sz w:val="20"/>
          <w:szCs w:val="20"/>
          <w:rtl w:val="0"/>
        </w:rPr>
        <w:t xml:space="preserve">Anesthetic (e.g., 10-20 mL of 1% lidocaine; optional to dilute with NaCl or add sodium bicarbonate or epinephrine)</w:t>
      </w:r>
    </w:p>
    <w:p w:rsidR="00000000" w:rsidDel="00000000" w:rsidP="00000000" w:rsidRDefault="00000000" w:rsidRPr="00000000" w14:paraId="0000003C">
      <w:pPr>
        <w:numPr>
          <w:ilvl w:val="1"/>
          <w:numId w:val="2"/>
        </w:numPr>
        <w:ind w:left="1440" w:hanging="360"/>
        <w:rPr>
          <w:sz w:val="20"/>
          <w:szCs w:val="20"/>
        </w:rPr>
      </w:pPr>
      <w:r w:rsidDel="00000000" w:rsidR="00000000" w:rsidRPr="00000000">
        <w:rPr>
          <w:rFonts w:ascii="Avenir" w:cs="Avenir" w:eastAsia="Avenir" w:hAnsi="Avenir"/>
          <w:sz w:val="20"/>
          <w:szCs w:val="20"/>
          <w:rtl w:val="0"/>
        </w:rPr>
        <w:t xml:space="preserve">18g needle to draw up medication</w:t>
      </w:r>
    </w:p>
    <w:p w:rsidR="00000000" w:rsidDel="00000000" w:rsidP="00000000" w:rsidRDefault="00000000" w:rsidRPr="00000000" w14:paraId="0000003D">
      <w:pPr>
        <w:numPr>
          <w:ilvl w:val="1"/>
          <w:numId w:val="2"/>
        </w:numPr>
        <w:ind w:left="1440" w:hanging="360"/>
        <w:rPr>
          <w:sz w:val="20"/>
          <w:szCs w:val="20"/>
        </w:rPr>
      </w:pPr>
      <w:r w:rsidDel="00000000" w:rsidR="00000000" w:rsidRPr="00000000">
        <w:rPr>
          <w:rFonts w:ascii="Avenir" w:cs="Avenir" w:eastAsia="Avenir" w:hAnsi="Avenir"/>
          <w:sz w:val="20"/>
          <w:szCs w:val="20"/>
          <w:rtl w:val="0"/>
        </w:rPr>
        <w:t xml:space="preserve">22g 1 ½” or longer needle to attach to syringe</w:t>
      </w:r>
    </w:p>
    <w:p w:rsidR="00000000" w:rsidDel="00000000" w:rsidP="00000000" w:rsidRDefault="00000000" w:rsidRPr="00000000" w14:paraId="0000003E">
      <w:pPr>
        <w:numPr>
          <w:ilvl w:val="1"/>
          <w:numId w:val="2"/>
        </w:numPr>
        <w:ind w:left="1440" w:hanging="360"/>
        <w:rPr>
          <w:sz w:val="20"/>
          <w:szCs w:val="20"/>
        </w:rPr>
      </w:pPr>
      <w:r w:rsidDel="00000000" w:rsidR="00000000" w:rsidRPr="00000000">
        <w:rPr>
          <w:rFonts w:ascii="Avenir" w:cs="Avenir" w:eastAsia="Avenir" w:hAnsi="Avenir"/>
          <w:sz w:val="20"/>
          <w:szCs w:val="20"/>
          <w:rtl w:val="0"/>
        </w:rPr>
        <w:t xml:space="preserve">10 mL syringes</w:t>
      </w:r>
    </w:p>
    <w:p w:rsidR="00000000" w:rsidDel="00000000" w:rsidP="00000000" w:rsidRDefault="00000000" w:rsidRPr="00000000" w14:paraId="0000003F">
      <w:pPr>
        <w:ind w:left="0" w:hanging="2"/>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40">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2. </w:t>
      </w:r>
      <w:r w:rsidDel="00000000" w:rsidR="00000000" w:rsidRPr="00000000">
        <w:rPr>
          <w:rFonts w:ascii="Avenir" w:cs="Avenir" w:eastAsia="Avenir" w:hAnsi="Avenir"/>
          <w:sz w:val="20"/>
          <w:szCs w:val="20"/>
          <w:u w:val="single"/>
          <w:rtl w:val="0"/>
        </w:rPr>
        <w:t xml:space="preserve">Disposal of medical waste and cleaning of instruments</w:t>
      </w:r>
      <w:r w:rsidDel="00000000" w:rsidR="00000000" w:rsidRPr="00000000">
        <w:rPr>
          <w:rtl w:val="0"/>
        </w:rPr>
      </w:r>
    </w:p>
    <w:p w:rsidR="00000000" w:rsidDel="00000000" w:rsidP="00000000" w:rsidRDefault="00000000" w:rsidRPr="00000000" w14:paraId="00000041">
      <w:pPr>
        <w:ind w:left="0" w:hanging="2"/>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t>
      </w:r>
      <w:r w:rsidDel="00000000" w:rsidR="00000000" w:rsidRPr="00000000">
        <w:rPr>
          <w:rFonts w:ascii="Avenir" w:cs="Avenir" w:eastAsia="Avenir" w:hAnsi="Avenir"/>
          <w:color w:val="ff0000"/>
          <w:sz w:val="20"/>
          <w:szCs w:val="20"/>
          <w:rtl w:val="0"/>
        </w:rPr>
        <w:t xml:space="preserve">*FACILITY NAME* </w:t>
      </w:r>
      <w:r w:rsidDel="00000000" w:rsidR="00000000" w:rsidRPr="00000000">
        <w:rPr>
          <w:rFonts w:ascii="Avenir" w:cs="Avenir" w:eastAsia="Avenir" w:hAnsi="Avenir"/>
          <w:sz w:val="20"/>
          <w:szCs w:val="20"/>
          <w:rtl w:val="0"/>
        </w:rPr>
        <w:t xml:space="preserve">has a procedure for the removal of medical waste such as blood and other infectious body fluids, as well as contaminated equipment. This procedure will continue to be followed.</w:t>
      </w:r>
    </w:p>
    <w:p w:rsidR="00000000" w:rsidDel="00000000" w:rsidP="00000000" w:rsidRDefault="00000000" w:rsidRPr="00000000" w14:paraId="00000042">
      <w:pPr>
        <w:pStyle w:val="Heading1"/>
        <w:ind w:left="0" w:hanging="2"/>
        <w:rPr>
          <w:rFonts w:ascii="Avenir" w:cs="Avenir" w:eastAsia="Avenir" w:hAnsi="Avenir"/>
          <w:u w:val="none"/>
        </w:rPr>
      </w:pPr>
      <w:r w:rsidDel="00000000" w:rsidR="00000000" w:rsidRPr="00000000">
        <w:rPr>
          <w:rtl w:val="0"/>
        </w:rPr>
      </w:r>
    </w:p>
    <w:p w:rsidR="00000000" w:rsidDel="00000000" w:rsidP="00000000" w:rsidRDefault="00000000" w:rsidRPr="00000000" w14:paraId="00000043">
      <w:pPr>
        <w:pStyle w:val="Heading1"/>
        <w:ind w:left="0" w:hanging="2"/>
        <w:rPr>
          <w:rFonts w:ascii="Avenir" w:cs="Avenir" w:eastAsia="Avenir" w:hAnsi="Avenir"/>
          <w:u w:val="none"/>
        </w:rPr>
      </w:pPr>
      <w:r w:rsidDel="00000000" w:rsidR="00000000" w:rsidRPr="00000000">
        <w:rPr>
          <w:rFonts w:ascii="Avenir" w:cs="Avenir" w:eastAsia="Avenir" w:hAnsi="Avenir"/>
          <w:u w:val="none"/>
          <w:rtl w:val="0"/>
        </w:rPr>
        <w:t xml:space="preserve">V. Staffing</w:t>
      </w:r>
    </w:p>
    <w:p w:rsidR="00000000" w:rsidDel="00000000" w:rsidP="00000000" w:rsidRDefault="00000000" w:rsidRPr="00000000" w14:paraId="00000044">
      <w:pPr>
        <w:ind w:left="0" w:hanging="2"/>
        <w:rPr>
          <w:rFonts w:ascii="Avenir" w:cs="Avenir" w:eastAsia="Avenir" w:hAnsi="Avenir"/>
        </w:rPr>
      </w:pPr>
      <w:r w:rsidDel="00000000" w:rsidR="00000000" w:rsidRPr="00000000">
        <w:rPr>
          <w:rFonts w:ascii="Avenir" w:cs="Avenir" w:eastAsia="Avenir" w:hAnsi="Avenir"/>
          <w:sz w:val="20"/>
          <w:szCs w:val="20"/>
          <w:rtl w:val="0"/>
        </w:rPr>
        <w:t xml:space="preserve">All clinicians performing IUD insertion procedures at the </w:t>
      </w:r>
      <w:r w:rsidDel="00000000" w:rsidR="00000000" w:rsidRPr="00000000">
        <w:rPr>
          <w:rFonts w:ascii="Avenir" w:cs="Avenir" w:eastAsia="Avenir" w:hAnsi="Avenir"/>
          <w:color w:val="ff0000"/>
          <w:sz w:val="20"/>
          <w:szCs w:val="20"/>
          <w:rtl w:val="0"/>
        </w:rPr>
        <w:t xml:space="preserve">*FACILITY NAME* </w:t>
      </w:r>
      <w:r w:rsidDel="00000000" w:rsidR="00000000" w:rsidRPr="00000000">
        <w:rPr>
          <w:rFonts w:ascii="Avenir" w:cs="Avenir" w:eastAsia="Avenir" w:hAnsi="Avenir"/>
          <w:sz w:val="20"/>
          <w:szCs w:val="20"/>
          <w:rtl w:val="0"/>
        </w:rPr>
        <w:t xml:space="preserve">will have adequate training from either their clinical training program or from currently trained faculty. Clinical support staff will assist the </w:t>
      </w:r>
      <w:r w:rsidDel="00000000" w:rsidR="00000000" w:rsidRPr="00000000">
        <w:rPr>
          <w:rFonts w:ascii="Avenir" w:cs="Avenir" w:eastAsia="Avenir" w:hAnsi="Avenir"/>
          <w:sz w:val="20"/>
          <w:szCs w:val="20"/>
          <w:rtl w:val="0"/>
        </w:rPr>
        <w:t xml:space="preserve">clinicians</w:t>
      </w:r>
      <w:r w:rsidDel="00000000" w:rsidR="00000000" w:rsidRPr="00000000">
        <w:rPr>
          <w:rFonts w:ascii="Avenir" w:cs="Avenir" w:eastAsia="Avenir" w:hAnsi="Avenir"/>
          <w:sz w:val="20"/>
          <w:szCs w:val="20"/>
          <w:rtl w:val="0"/>
        </w:rPr>
        <w:t xml:space="preserve">.</w:t>
      </w:r>
      <w:r w:rsidDel="00000000" w:rsidR="00000000" w:rsidRPr="00000000">
        <w:rPr>
          <w:rtl w:val="0"/>
        </w:rPr>
      </w:r>
    </w:p>
    <w:p w:rsidR="00000000" w:rsidDel="00000000" w:rsidP="00000000" w:rsidRDefault="00000000" w:rsidRPr="00000000" w14:paraId="00000045">
      <w:pPr>
        <w:ind w:left="0" w:hanging="2"/>
        <w:rPr>
          <w:rFonts w:ascii="Avenir" w:cs="Avenir" w:eastAsia="Avenir" w:hAnsi="Avenir"/>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5840" w:w="12240" w:orient="portrait"/>
      <w:pgMar w:bottom="1440" w:top="1440" w:left="1440" w:right="144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320"/>
        <w:tab w:val="right" w:leader="none" w:pos="8640"/>
        <w:tab w:val="left" w:leader="none" w:pos="4885"/>
      </w:tabs>
      <w:spacing w:line="240" w:lineRule="auto"/>
      <w:ind w:left="0" w:hanging="2"/>
      <w:rPr>
        <w:rFonts w:ascii="Avenir" w:cs="Avenir" w:eastAsia="Avenir" w:hAnsi="Avenir"/>
        <w:color w:val="000000"/>
        <w:sz w:val="22"/>
        <w:szCs w:val="22"/>
      </w:rPr>
    </w:pPr>
    <w:r w:rsidDel="00000000" w:rsidR="00000000" w:rsidRPr="00000000">
      <w:rPr>
        <w:rFonts w:ascii="Avenir" w:cs="Avenir" w:eastAsia="Avenir" w:hAnsi="Avenir"/>
        <w:sz w:val="22"/>
        <w:szCs w:val="22"/>
        <w:rtl w:val="0"/>
      </w:rPr>
      <w:t xml:space="preserve">August</w:t>
    </w:r>
    <w:r w:rsidDel="00000000" w:rsidR="00000000" w:rsidRPr="00000000">
      <w:rPr>
        <w:rFonts w:ascii="Avenir" w:cs="Avenir" w:eastAsia="Avenir" w:hAnsi="Avenir"/>
        <w:color w:val="000000"/>
        <w:sz w:val="22"/>
        <w:szCs w:val="22"/>
        <w:rtl w:val="0"/>
      </w:rPr>
      <w:t xml:space="preserve"> 202</w:t>
    </w:r>
    <w:r w:rsidDel="00000000" w:rsidR="00000000" w:rsidRPr="00000000">
      <w:rPr>
        <w:rFonts w:ascii="Avenir" w:cs="Avenir" w:eastAsia="Avenir" w:hAnsi="Avenir"/>
        <w:sz w:val="22"/>
        <w:szCs w:val="22"/>
        <w:rtl w:val="0"/>
      </w:rPr>
      <w:t xml:space="preserve">6</w:t>
    </w:r>
    <w:r w:rsidDel="00000000" w:rsidR="00000000" w:rsidRPr="00000000">
      <w:rPr>
        <w:rFonts w:ascii="Avenir" w:cs="Avenir" w:eastAsia="Avenir" w:hAnsi="Avenir"/>
        <w:color w:val="000000"/>
        <w:sz w:val="22"/>
        <w:szCs w:val="22"/>
        <w:rtl w:val="0"/>
      </w:rPr>
      <w:t xml:space="preserve"> / www.reproductiveaccess.org </w:t>
    </w:r>
    <w:r w:rsidDel="00000000" w:rsidR="00000000" w:rsidRPr="00000000">
      <w:drawing>
        <wp:anchor allowOverlap="1" behindDoc="0" distB="0" distT="0" distL="114300" distR="114300" hidden="0" layoutInCell="1" locked="0" relativeHeight="0" simplePos="0">
          <wp:simplePos x="0" y="0"/>
          <wp:positionH relativeFrom="column">
            <wp:posOffset>5264084</wp:posOffset>
          </wp:positionH>
          <wp:positionV relativeFrom="paragraph">
            <wp:posOffset>-43156</wp:posOffset>
          </wp:positionV>
          <wp:extent cx="989330" cy="48260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89330" cy="48260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ind w:left="0" w:hanging="2"/>
      <w:jc w:val="center"/>
      <w:rPr>
        <w:rFonts w:ascii="Avenir" w:cs="Avenir" w:eastAsia="Avenir" w:hAnsi="Aveni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0"/>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rPr>
      <w:w w:val="100"/>
      <w:position w:val="-1"/>
      <w:effect w:val="none"/>
      <w:vertAlign w:val="baseline"/>
      <w:cs w:val="0"/>
      <w:em w:val="none"/>
    </w:rPr>
  </w:style>
  <w:style w:type="paragraph" w:styleId="Level1" w:customStyle="1">
    <w:name w:val="Level 1"/>
    <w:basedOn w:val="Normal"/>
    <w:pPr>
      <w:numPr>
        <w:numId w:val="1"/>
      </w:numPr>
      <w:ind w:left="1440" w:hanging="720"/>
    </w:pPr>
  </w:style>
  <w:style w:type="paragraph" w:styleId="BodyText">
    <w:name w:val="Body Text"/>
    <w:basedOn w:val="Normal"/>
    <w:pPr>
      <w:jc w:val="both"/>
    </w:pPr>
    <w:rPr>
      <w:rFonts w:ascii="Times New Roman" w:hAnsi="Times New Roman"/>
    </w:r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pPr>
  </w:style>
  <w:style w:type="paragraph" w:styleId="BodyText2">
    <w:name w:val="Body Text 2"/>
    <w:basedOn w:val="Normal"/>
    <w:rPr>
      <w:rFonts w:ascii="Times New Roman" w:hAnsi="Times New Roman"/>
      <w:b w:val="1"/>
    </w:rPr>
  </w:style>
  <w:style w:type="paragraph" w:styleId="BodyTextIndent">
    <w:name w:val="Body Text Indent"/>
    <w:basedOn w:val="Normal"/>
    <w:pPr>
      <w:ind w:left="720"/>
    </w:pPr>
    <w:rPr>
      <w:rFonts w:ascii="Times New Roman" w:hAnsi="Times New Roman"/>
    </w:rPr>
  </w:style>
  <w:style w:type="paragraph" w:styleId="BodyTextIndent2">
    <w:name w:val="Body Text Indent 2"/>
    <w:basedOn w:val="Normal"/>
    <w:pPr>
      <w:ind w:left="720"/>
    </w:pPr>
    <w:rPr>
      <w:rFonts w:ascii="Times New Roman" w:hAnsi="Times New Roman"/>
      <w:b w:val="1"/>
      <w:i w:val="1"/>
    </w:rPr>
  </w:style>
  <w:style w:type="paragraph" w:styleId="BalloonText">
    <w:name w:val="Balloon Text"/>
    <w:basedOn w:val="Normal"/>
    <w:qFormat w:val="1"/>
    <w:rPr>
      <w:rFonts w:ascii="Lucida Grande" w:hAnsi="Lucida Grande"/>
      <w:sz w:val="18"/>
      <w:szCs w:val="18"/>
    </w:rPr>
  </w:style>
  <w:style w:type="character" w:styleId="BalloonTextChar" w:customStyle="1">
    <w:name w:val="Balloon Text Char"/>
    <w:rPr>
      <w:rFonts w:ascii="Lucida Grande" w:hAnsi="Lucida Grande"/>
      <w:snapToGrid w:val="0"/>
      <w:w w:val="100"/>
      <w:position w:val="-1"/>
      <w:sz w:val="18"/>
      <w:szCs w:val="18"/>
      <w:effect w:val="none"/>
      <w:vertAlign w:val="baseline"/>
      <w:cs w:val="0"/>
      <w:em w:val="none"/>
    </w:rPr>
  </w:style>
  <w:style w:type="character" w:styleId="CommentReference">
    <w:name w:val="annotation reference"/>
    <w:qFormat w:val="1"/>
    <w:rPr>
      <w:w w:val="100"/>
      <w:position w:val="-1"/>
      <w:sz w:val="18"/>
      <w:szCs w:val="18"/>
      <w:effect w:val="none"/>
      <w:vertAlign w:val="baseline"/>
      <w:cs w:val="0"/>
      <w:em w:val="none"/>
    </w:rPr>
  </w:style>
  <w:style w:type="paragraph" w:styleId="CommentText">
    <w:name w:val="annotation text"/>
    <w:basedOn w:val="Normal"/>
    <w:qFormat w:val="1"/>
  </w:style>
  <w:style w:type="character" w:styleId="CommentTextChar" w:customStyle="1">
    <w:name w:val="Comment Text Char"/>
    <w:rPr>
      <w:rFonts w:ascii="Arial" w:hAnsi="Arial"/>
      <w:snapToGrid w:val="0"/>
      <w:w w:val="100"/>
      <w:position w:val="-1"/>
      <w:sz w:val="24"/>
      <w:szCs w:val="24"/>
      <w:effect w:val="none"/>
      <w:vertAlign w:val="baseline"/>
      <w:cs w:val="0"/>
      <w:em w:val="none"/>
    </w:rPr>
  </w:style>
  <w:style w:type="paragraph" w:styleId="CommentSubject">
    <w:name w:val="annotation subject"/>
    <w:basedOn w:val="CommentText"/>
    <w:next w:val="CommentText"/>
    <w:qFormat w:val="1"/>
    <w:rPr>
      <w:b w:val="1"/>
      <w:bCs w:val="1"/>
      <w:sz w:val="20"/>
      <w:szCs w:val="20"/>
    </w:rPr>
  </w:style>
  <w:style w:type="character" w:styleId="CommentSubjectChar" w:customStyle="1">
    <w:name w:val="Comment Subject Char"/>
    <w:rPr>
      <w:rFonts w:ascii="Arial" w:hAnsi="Arial"/>
      <w:b w:val="1"/>
      <w:bCs w:val="1"/>
      <w:snapToGrid w:val="0"/>
      <w:w w:val="100"/>
      <w:position w:val="-1"/>
      <w:sz w:val="24"/>
      <w:szCs w:val="24"/>
      <w:effect w:val="none"/>
      <w:vertAlign w:val="baseline"/>
      <w:cs w:val="0"/>
      <w:em w:val="none"/>
    </w:rPr>
  </w:style>
  <w:style w:type="character" w:styleId="FooterChar" w:customStyle="1">
    <w:name w:val="Footer Char"/>
    <w:rPr>
      <w:rFonts w:ascii="Arial" w:hAnsi="Arial"/>
      <w:snapToGrid w:val="0"/>
      <w:w w:val="100"/>
      <w:position w:val="-1"/>
      <w:sz w:val="24"/>
      <w:effect w:val="none"/>
      <w:vertAlign w:val="baseline"/>
      <w:cs w:val="0"/>
      <w:em w:val="none"/>
    </w:rPr>
  </w:style>
  <w:style w:type="table" w:styleId="a" w:customStyle="1">
    <w:basedOn w:val="TableNormal"/>
    <w:tblPr>
      <w:tblStyleRowBandSize w:val="1"/>
      <w:tblStyleColBandSize w:val="1"/>
    </w:tblPr>
  </w:style>
  <w:style w:type="paragraph" w:styleId="ListParagraph">
    <w:name w:val="List Paragraph"/>
    <w:basedOn w:val="Normal"/>
    <w:uiPriority w:val="34"/>
    <w:qFormat w:val="1"/>
    <w:rsid w:val="004F1977"/>
    <w:pPr>
      <w:ind w:left="720"/>
      <w:contextualSpacing w:val="1"/>
    </w:pPr>
  </w:style>
  <w:style w:type="character" w:styleId="Hyperlink">
    <w:name w:val="Hyperlink"/>
    <w:basedOn w:val="DefaultParagraphFont"/>
    <w:uiPriority w:val="99"/>
    <w:unhideWhenUsed w:val="1"/>
    <w:rsid w:val="00132347"/>
    <w:rPr>
      <w:color w:val="0000ff" w:themeColor="hyperlink"/>
      <w:u w:val="single"/>
    </w:rPr>
  </w:style>
  <w:style w:type="character" w:styleId="UnresolvedMention">
    <w:name w:val="Unresolved Mention"/>
    <w:basedOn w:val="DefaultParagraphFont"/>
    <w:uiPriority w:val="99"/>
    <w:semiHidden w:val="1"/>
    <w:unhideWhenUsed w:val="1"/>
    <w:rsid w:val="00132347"/>
    <w:rPr>
      <w:color w:val="605e5c"/>
      <w:shd w:color="auto" w:fill="e1dfdd" w:val="clear"/>
    </w:rPr>
  </w:style>
  <w:style w:type="paragraph" w:styleId="Revision">
    <w:name w:val="Revision"/>
    <w:hidden w:val="1"/>
    <w:uiPriority w:val="99"/>
    <w:semiHidden w:val="1"/>
    <w:rsid w:val="00132347"/>
    <w:pPr>
      <w:widowControl w:val="1"/>
    </w:pPr>
    <w:rPr>
      <w:snapToGrid w:val="0"/>
      <w:position w:val="-1"/>
    </w:rPr>
  </w:style>
  <w:style w:type="character" w:styleId="FollowedHyperlink">
    <w:name w:val="FollowedHyperlink"/>
    <w:basedOn w:val="DefaultParagraphFont"/>
    <w:uiPriority w:val="99"/>
    <w:semiHidden w:val="1"/>
    <w:unhideWhenUsed w:val="1"/>
    <w:rsid w:val="00B64590"/>
    <w:rPr>
      <w:color w:val="800080" w:themeColor="followedHyperlink"/>
      <w:u w:val="single"/>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reproductiveaccess.org/resource/options-to-manage-pain-for-gynecologic-procedures/" TargetMode="External"/><Relationship Id="rId10" Type="http://schemas.openxmlformats.org/officeDocument/2006/relationships/hyperlink" Target="https://www.lilettaaccessconnect.com/#Public" TargetMode="External"/><Relationship Id="rId13" Type="http://schemas.openxmlformats.org/officeDocument/2006/relationships/hyperlink" Target="https://www.reproductiveaccess.org/resource/iud-aftercare-instructions/" TargetMode="External"/><Relationship Id="rId12" Type="http://schemas.openxmlformats.org/officeDocument/2006/relationships/hyperlink" Target="https://www.reproductiveaccess.org/resource/iud-aftercare-instruc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atientassistance.bayer.us/en/"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hyperlink" Target="https://www.mirena-us.com/ordering-reimbursement" TargetMode="External"/><Relationship Id="rId8" Type="http://schemas.openxmlformats.org/officeDocument/2006/relationships/hyperlink" Target="https://www.kyleena-us.com/iud-cost-and-insur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PeFrX3HpOe/tcdYApSsseUoczA==">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2025-02-03T21:23:00Z</dcterms:created>
  <dc:creator>Susanne Callahan</dc:creator>
</cp:coreProperties>
</file>